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33"/>
      <w:bookmarkStart w:id="3" w:name="OLE_LINK12"/>
      <w:bookmarkStart w:id="4" w:name="OLE_LINK13"/>
      <w:r>
        <w:rPr>
          <w:rFonts w:cs="Arial"/>
          <w:b/>
        </w:rPr>
        <w:t>3GPP TSG-RAN WG2 Meeting #1</w:t>
      </w:r>
      <w:r>
        <w:rPr>
          <w:rFonts w:hint="eastAsia" w:cs="Arial"/>
          <w:b/>
          <w:lang w:val="en-US" w:eastAsia="zh-CN"/>
        </w:rPr>
        <w:t xml:space="preserve">26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404616</w:t>
      </w:r>
    </w:p>
    <w:p>
      <w:pPr>
        <w:snapToGrid w:val="0"/>
        <w:spacing w:after="0" w:line="240" w:lineRule="auto"/>
        <w:rPr>
          <w:rFonts w:cs="Arial"/>
          <w:b/>
          <w:lang w:val="en-US" w:eastAsia="zh-CN"/>
        </w:rPr>
      </w:pPr>
      <w:r>
        <w:rPr>
          <w:rFonts w:hint="eastAsia" w:cs="Arial"/>
          <w:b/>
          <w:lang w:val="en-US" w:eastAsia="zh-CN"/>
        </w:rPr>
        <w:t>Fukuoka</w:t>
      </w:r>
      <w:r>
        <w:rPr>
          <w:rFonts w:cs="Arial"/>
          <w:b/>
        </w:rPr>
        <w:t>,</w:t>
      </w:r>
      <w:r>
        <w:rPr>
          <w:rFonts w:hint="eastAsia" w:cs="Arial"/>
          <w:b/>
          <w:lang w:val="en-US" w:eastAsia="zh-CN"/>
        </w:rPr>
        <w:t xml:space="preserve"> Japan, May</w:t>
      </w:r>
      <w:r>
        <w:rPr>
          <w:rFonts w:cs="Arial"/>
          <w:b/>
        </w:rPr>
        <w:t xml:space="preserve"> </w:t>
      </w:r>
      <w:r>
        <w:rPr>
          <w:rFonts w:hint="eastAsia" w:cs="Arial"/>
          <w:b/>
          <w:lang w:val="en-US" w:eastAsia="zh-CN"/>
        </w:rPr>
        <w:t>20</w:t>
      </w:r>
      <w:r>
        <w:rPr>
          <w:rFonts w:hint="eastAsia" w:cs="Arial"/>
          <w:b/>
          <w:vertAlign w:val="superscript"/>
          <w:lang w:val="en-US" w:eastAsia="zh-CN"/>
        </w:rPr>
        <w:t>th</w:t>
      </w:r>
      <w:r>
        <w:rPr>
          <w:rFonts w:cs="Arial"/>
          <w:b/>
        </w:rPr>
        <w:t xml:space="preserve"> –</w:t>
      </w:r>
      <w:r>
        <w:rPr>
          <w:rFonts w:hint="eastAsia" w:cs="Arial"/>
          <w:b/>
          <w:lang w:val="en-US" w:eastAsia="zh-CN"/>
        </w:rPr>
        <w:t xml:space="preserve"> 24</w:t>
      </w:r>
      <w:r>
        <w:rPr>
          <w:rFonts w:hint="eastAsia" w:cs="Arial"/>
          <w:b/>
          <w:vertAlign w:val="superscript"/>
          <w:lang w:val="en-US" w:eastAsia="zh-CN"/>
        </w:rPr>
        <w:t>th</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w:t>
      </w:r>
      <w:r>
        <w:rPr>
          <w:rFonts w:hint="eastAsia" w:eastAsia="宋体" w:cs="Arial"/>
          <w:b/>
          <w:lang w:val="en-US" w:eastAsia="zh-CN"/>
        </w:rPr>
        <w:t xml:space="preserve">   </w:t>
      </w:r>
      <w:r>
        <w:rPr>
          <w:rFonts w:eastAsia="宋体" w:cs="Arial"/>
          <w:b/>
        </w:rPr>
        <w:t xml:space="preserve">Discussion </w:t>
      </w:r>
      <w:r>
        <w:rPr>
          <w:rFonts w:hint="eastAsia" w:eastAsia="宋体" w:cs="Arial"/>
          <w:b/>
          <w:lang w:val="en-US" w:eastAsia="zh-CN"/>
        </w:rPr>
        <w:t>on LCM for positioning use case</w:t>
      </w:r>
    </w:p>
    <w:bookmarkEnd w:id="0"/>
    <w:p>
      <w:pPr>
        <w:tabs>
          <w:tab w:val="center" w:pos="4536"/>
          <w:tab w:val="right" w:pos="8280"/>
          <w:tab w:val="right" w:pos="9639"/>
        </w:tabs>
        <w:snapToGrid w:val="0"/>
        <w:spacing w:after="0" w:line="240" w:lineRule="auto"/>
        <w:ind w:left="422" w:right="2" w:hanging="422" w:hangingChars="200"/>
        <w:rPr>
          <w:rFonts w:hint="eastAsia" w:eastAsia="宋体" w:cs="Arial"/>
          <w:b/>
          <w:lang w:val="en-US" w:eastAsia="zh-CN"/>
        </w:rPr>
      </w:pPr>
      <w:r>
        <w:rPr>
          <w:rFonts w:eastAsia="宋体" w:cs="Arial"/>
          <w:b/>
        </w:rPr>
        <w:t>Agenda item:   8.1.2.</w:t>
      </w:r>
      <w:r>
        <w:rPr>
          <w:rFonts w:hint="eastAsia" w:eastAsia="宋体" w:cs="Arial"/>
          <w:b/>
          <w:lang w:val="en-US" w:eastAsia="zh-CN"/>
        </w:rPr>
        <w:t>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Introductio</w:t>
      </w:r>
      <w:r>
        <w:rPr>
          <w:rFonts w:cs="Arial"/>
          <w:kern w:val="0"/>
          <w:sz w:val="28"/>
          <w:szCs w:val="32"/>
        </w:rPr>
        <w:t>n</w:t>
      </w:r>
    </w:p>
    <w:p>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The WID</w:t>
      </w:r>
      <w:r>
        <w:rPr>
          <w:rFonts w:hint="eastAsia" w:ascii="Times New Roman" w:hAnsi="Times New Roman" w:eastAsia="宋体"/>
          <w:sz w:val="20"/>
          <w:szCs w:val="20"/>
          <w:lang w:val="en-US" w:eastAsia="zh-CN"/>
        </w:rPr>
        <w:t>[1]</w:t>
      </w:r>
      <w:r>
        <w:rPr>
          <w:rFonts w:ascii="Times New Roman" w:hAnsi="Times New Roman" w:eastAsia="宋体"/>
          <w:sz w:val="20"/>
          <w:szCs w:val="20"/>
          <w:lang w:val="en-US" w:eastAsia="zh-CN"/>
        </w:rPr>
        <w:t xml:space="preserve"> of Rel-19 AI FS_NR_AIML_Air related to </w:t>
      </w:r>
      <w:r>
        <w:rPr>
          <w:rFonts w:hint="eastAsia" w:ascii="Times New Roman" w:hAnsi="Times New Roman" w:eastAsia="宋体"/>
          <w:sz w:val="20"/>
          <w:szCs w:val="20"/>
          <w:lang w:val="en-US" w:eastAsia="zh-CN"/>
        </w:rPr>
        <w:t>AI/ML positioning</w:t>
      </w:r>
      <w:r>
        <w:rPr>
          <w:rFonts w:ascii="Times New Roman" w:hAnsi="Times New Roman" w:eastAsia="宋体"/>
          <w:sz w:val="20"/>
          <w:szCs w:val="20"/>
          <w:lang w:val="en-US" w:eastAsia="zh-CN"/>
        </w:rPr>
        <w:t xml:space="preserve"> is </w:t>
      </w:r>
      <w:r>
        <w:rPr>
          <w:rFonts w:hint="eastAsia" w:ascii="Times New Roman" w:hAnsi="Times New Roman" w:eastAsia="宋体"/>
          <w:sz w:val="20"/>
          <w:szCs w:val="20"/>
          <w:lang w:val="en-US" w:eastAsia="zh-CN"/>
        </w:rPr>
        <w:t>highlighted</w:t>
      </w:r>
      <w:r>
        <w:rPr>
          <w:rFonts w:ascii="Times New Roman" w:hAnsi="Times New Roman" w:eastAsia="宋体"/>
          <w:sz w:val="20"/>
          <w:szCs w:val="20"/>
          <w:lang w:val="en-US" w:eastAsia="zh-CN"/>
        </w:rPr>
        <w:t xml:space="preserve">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ascii="Times New Roman" w:hAnsi="Times New Roman"/>
                <w:bCs/>
                <w:sz w:val="20"/>
                <w:szCs w:val="20"/>
              </w:rPr>
            </w:pPr>
            <w:r>
              <w:rPr>
                <w:rFonts w:ascii="Times New Roman" w:hAnsi="Times New Roman"/>
                <w:bCs/>
                <w:sz w:val="20"/>
                <w:szCs w:val="20"/>
              </w:rPr>
              <w:t>Provide specification support for the following aspects:</w:t>
            </w:r>
          </w:p>
          <w:p>
            <w:pPr>
              <w:numPr>
                <w:ilvl w:val="0"/>
                <w:numId w:val="7"/>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AI/ML general framework for one-sided AI/ML models within the realm of what has been studied in the FS_NR_AIML_Air project [RAN2]:</w:t>
            </w:r>
          </w:p>
          <w:p>
            <w:pPr>
              <w:numPr>
                <w:ilvl w:val="1"/>
                <w:numId w:val="7"/>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Signalling and protocol aspects of Life Cycle Management (LCM) enabling functionality and model (if justified) selection, activation, deactivation, switching, fallback</w:t>
            </w:r>
          </w:p>
          <w:p>
            <w:pPr>
              <w:numPr>
                <w:ilvl w:val="2"/>
                <w:numId w:val="7"/>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 xml:space="preserve">Identification related signalling is part of the above objective </w:t>
            </w:r>
          </w:p>
          <w:p>
            <w:pPr>
              <w:numPr>
                <w:ilvl w:val="1"/>
                <w:numId w:val="7"/>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Necessary signalling/mechanism(s) for LCM to facilitate model training, inference, performance monitoring, data collection (except for the purpose of CN/OAM/OTT collection of UE-sided model training data) for both UE-sided and NW-sided models</w:t>
            </w:r>
          </w:p>
          <w:p>
            <w:pPr>
              <w:numPr>
                <w:ilvl w:val="1"/>
                <w:numId w:val="7"/>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Signalling mechanism of applicable functionalities/models</w:t>
            </w:r>
          </w:p>
          <w:p>
            <w:pPr>
              <w:adjustRightInd w:val="0"/>
              <w:snapToGrid w:val="0"/>
              <w:spacing w:before="156" w:beforeLines="50" w:after="156" w:afterLines="50" w:line="240" w:lineRule="auto"/>
              <w:ind w:left="720"/>
              <w:rPr>
                <w:rFonts w:ascii="Times New Roman" w:hAnsi="Times New Roman"/>
                <w:bCs/>
                <w:sz w:val="20"/>
                <w:szCs w:val="20"/>
              </w:rPr>
            </w:pPr>
          </w:p>
          <w:p>
            <w:pPr>
              <w:numPr>
                <w:ilvl w:val="0"/>
                <w:numId w:val="7"/>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Beam management - DL Tx beam prediction for both UE-sided model and NW-sided model, encompassing [RAN1/RAN2]:</w:t>
            </w:r>
          </w:p>
          <w:p>
            <w:pPr>
              <w:numPr>
                <w:ilvl w:val="1"/>
                <w:numId w:val="7"/>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Spatial-domain DL Tx beam prediction for Set A of beams based on measurement results of Set B of beams (“BM-Case1”)</w:t>
            </w:r>
          </w:p>
          <w:p>
            <w:pPr>
              <w:numPr>
                <w:ilvl w:val="1"/>
                <w:numId w:val="7"/>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Temporal DL Tx beam prediction for Set A of beams based on the historic measurement results of Set B of beams (“BM-Case2”)</w:t>
            </w:r>
          </w:p>
          <w:p>
            <w:pPr>
              <w:numPr>
                <w:ilvl w:val="1"/>
                <w:numId w:val="7"/>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Specify necessary signalling/mechanism(s) to facilitate LCM operations specific to the Beam Management use cases, if any</w:t>
            </w:r>
          </w:p>
          <w:p>
            <w:pPr>
              <w:numPr>
                <w:ilvl w:val="1"/>
                <w:numId w:val="7"/>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 xml:space="preserve">Enabling method(s) to ensure consistency between training and inference regarding NW-side additional conditions (if identified) for inference at UE </w:t>
            </w:r>
          </w:p>
          <w:p>
            <w:pPr>
              <w:adjustRightInd w:val="0"/>
              <w:snapToGrid w:val="0"/>
              <w:spacing w:before="156" w:beforeLines="50" w:after="156" w:afterLines="50" w:line="240" w:lineRule="auto"/>
              <w:ind w:left="360" w:firstLine="720"/>
              <w:rPr>
                <w:rFonts w:ascii="Times New Roman" w:hAnsi="Times New Roman"/>
                <w:bCs/>
                <w:sz w:val="20"/>
                <w:szCs w:val="20"/>
              </w:rPr>
            </w:pPr>
            <w:r>
              <w:rPr>
                <w:rFonts w:ascii="Times New Roman" w:hAnsi="Times New Roman"/>
                <w:bCs/>
                <w:sz w:val="20"/>
                <w:szCs w:val="20"/>
              </w:rPr>
              <w:t>NOTE: Strive for common framework design to support both BM-Case1 and BM-Case2</w:t>
            </w:r>
          </w:p>
          <w:p>
            <w:pPr>
              <w:adjustRightInd w:val="0"/>
              <w:snapToGrid w:val="0"/>
              <w:spacing w:before="156" w:beforeLines="50" w:after="156" w:afterLines="50" w:line="240" w:lineRule="auto"/>
              <w:ind w:left="720"/>
              <w:rPr>
                <w:rFonts w:ascii="Times New Roman" w:hAnsi="Times New Roman"/>
                <w:bCs/>
                <w:sz w:val="20"/>
                <w:szCs w:val="20"/>
              </w:rPr>
            </w:pPr>
          </w:p>
          <w:p>
            <w:pPr>
              <w:numPr>
                <w:ilvl w:val="0"/>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Positioning accuracy enhancements, encompassing [RAN1/RAN2/RAN3]:</w:t>
            </w:r>
          </w:p>
          <w:p>
            <w:pPr>
              <w:numPr>
                <w:ilvl w:val="1"/>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Direct AI/ML positioning:</w:t>
            </w:r>
          </w:p>
          <w:p>
            <w:pPr>
              <w:numPr>
                <w:ilvl w:val="2"/>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(1</w:t>
            </w:r>
            <w:r>
              <w:rPr>
                <w:rFonts w:ascii="Times New Roman" w:hAnsi="Times New Roman"/>
                <w:bCs/>
                <w:color w:val="FF0000"/>
                <w:sz w:val="20"/>
                <w:szCs w:val="20"/>
                <w:vertAlign w:val="superscript"/>
              </w:rPr>
              <w:t>st</w:t>
            </w:r>
            <w:r>
              <w:rPr>
                <w:rFonts w:ascii="Times New Roman" w:hAnsi="Times New Roman"/>
                <w:bCs/>
                <w:color w:val="FF0000"/>
                <w:sz w:val="20"/>
                <w:szCs w:val="20"/>
              </w:rPr>
              <w:t xml:space="preserve"> priority) Case 1: </w:t>
            </w:r>
            <w:r>
              <w:rPr>
                <w:rFonts w:ascii="Times New Roman" w:hAnsi="Times New Roman"/>
                <w:color w:val="FF0000"/>
                <w:sz w:val="20"/>
                <w:szCs w:val="20"/>
              </w:rPr>
              <w:t>UE-based positioning with UE-side model, direct AI/ML positioning</w:t>
            </w:r>
          </w:p>
          <w:p>
            <w:pPr>
              <w:numPr>
                <w:ilvl w:val="2"/>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(2</w:t>
            </w:r>
            <w:r>
              <w:rPr>
                <w:rFonts w:ascii="Times New Roman" w:hAnsi="Times New Roman"/>
                <w:bCs/>
                <w:color w:val="FF0000"/>
                <w:sz w:val="20"/>
                <w:szCs w:val="20"/>
                <w:vertAlign w:val="superscript"/>
              </w:rPr>
              <w:t>nd</w:t>
            </w:r>
            <w:r>
              <w:rPr>
                <w:rFonts w:ascii="Times New Roman" w:hAnsi="Times New Roman"/>
                <w:bCs/>
                <w:color w:val="FF0000"/>
                <w:sz w:val="20"/>
                <w:szCs w:val="20"/>
              </w:rPr>
              <w:t xml:space="preserve"> priority) Case 2b: </w:t>
            </w:r>
            <w:r>
              <w:rPr>
                <w:rFonts w:ascii="Times New Roman" w:hAnsi="Times New Roman"/>
                <w:color w:val="FF0000"/>
                <w:sz w:val="20"/>
                <w:szCs w:val="20"/>
              </w:rPr>
              <w:t>UE-assisted/LMF-based positioning with LMF-side model, direct AI/ML positioning</w:t>
            </w:r>
          </w:p>
          <w:p>
            <w:pPr>
              <w:numPr>
                <w:ilvl w:val="2"/>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(1</w:t>
            </w:r>
            <w:r>
              <w:rPr>
                <w:rFonts w:ascii="Times New Roman" w:hAnsi="Times New Roman"/>
                <w:bCs/>
                <w:color w:val="FF0000"/>
                <w:sz w:val="20"/>
                <w:szCs w:val="20"/>
                <w:vertAlign w:val="superscript"/>
              </w:rPr>
              <w:t>st</w:t>
            </w:r>
            <w:r>
              <w:rPr>
                <w:rFonts w:ascii="Times New Roman" w:hAnsi="Times New Roman"/>
                <w:bCs/>
                <w:color w:val="FF0000"/>
                <w:sz w:val="20"/>
                <w:szCs w:val="20"/>
              </w:rPr>
              <w:t xml:space="preserve"> priority) Case 3b:</w:t>
            </w:r>
            <w:r>
              <w:rPr>
                <w:rFonts w:ascii="Times New Roman" w:hAnsi="Times New Roman"/>
                <w:color w:val="FF0000"/>
                <w:sz w:val="20"/>
                <w:szCs w:val="20"/>
              </w:rPr>
              <w:t xml:space="preserve"> NG-RAN node assisted positioning with LMF-side model, direct AI/ML positioning</w:t>
            </w:r>
          </w:p>
          <w:p>
            <w:pPr>
              <w:numPr>
                <w:ilvl w:val="1"/>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 xml:space="preserve">AI/ML assisted positioning </w:t>
            </w:r>
            <w:r>
              <w:rPr>
                <w:rFonts w:ascii="Times New Roman" w:hAnsi="Times New Roman"/>
                <w:bCs/>
                <w:color w:val="FF0000"/>
                <w:sz w:val="20"/>
                <w:szCs w:val="20"/>
              </w:rPr>
              <w:tab/>
            </w:r>
            <w:r>
              <w:rPr>
                <w:rFonts w:ascii="Times New Roman" w:hAnsi="Times New Roman"/>
                <w:bCs/>
                <w:color w:val="FF0000"/>
                <w:sz w:val="20"/>
                <w:szCs w:val="20"/>
              </w:rPr>
              <w:tab/>
            </w:r>
            <w:r>
              <w:rPr>
                <w:rFonts w:ascii="Times New Roman" w:hAnsi="Times New Roman"/>
                <w:bCs/>
                <w:color w:val="FF0000"/>
                <w:sz w:val="20"/>
                <w:szCs w:val="20"/>
              </w:rPr>
              <w:t xml:space="preserve"> </w:t>
            </w:r>
          </w:p>
          <w:p>
            <w:pPr>
              <w:numPr>
                <w:ilvl w:val="2"/>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(2</w:t>
            </w:r>
            <w:r>
              <w:rPr>
                <w:rFonts w:ascii="Times New Roman" w:hAnsi="Times New Roman"/>
                <w:bCs/>
                <w:color w:val="FF0000"/>
                <w:sz w:val="20"/>
                <w:szCs w:val="20"/>
                <w:vertAlign w:val="superscript"/>
              </w:rPr>
              <w:t>nd</w:t>
            </w:r>
            <w:r>
              <w:rPr>
                <w:rFonts w:ascii="Times New Roman" w:hAnsi="Times New Roman"/>
                <w:bCs/>
                <w:color w:val="FF0000"/>
                <w:sz w:val="20"/>
                <w:szCs w:val="20"/>
              </w:rPr>
              <w:t xml:space="preserve"> priority) Case 2a: </w:t>
            </w:r>
            <w:r>
              <w:rPr>
                <w:rFonts w:ascii="Times New Roman" w:hAnsi="Times New Roman"/>
                <w:color w:val="FF0000"/>
                <w:sz w:val="20"/>
                <w:szCs w:val="20"/>
              </w:rPr>
              <w:t>UE-assisted/LMF-based positioning with UE-side model, AI/ML assisted positioning</w:t>
            </w:r>
            <w:r>
              <w:rPr>
                <w:rFonts w:ascii="Times New Roman" w:hAnsi="Times New Roman"/>
                <w:bCs/>
                <w:color w:val="FF0000"/>
                <w:sz w:val="20"/>
                <w:szCs w:val="20"/>
              </w:rPr>
              <w:tab/>
            </w:r>
          </w:p>
          <w:p>
            <w:pPr>
              <w:numPr>
                <w:ilvl w:val="2"/>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(1</w:t>
            </w:r>
            <w:r>
              <w:rPr>
                <w:rFonts w:ascii="Times New Roman" w:hAnsi="Times New Roman"/>
                <w:bCs/>
                <w:color w:val="FF0000"/>
                <w:sz w:val="20"/>
                <w:szCs w:val="20"/>
                <w:vertAlign w:val="superscript"/>
              </w:rPr>
              <w:t>st</w:t>
            </w:r>
            <w:r>
              <w:rPr>
                <w:rFonts w:ascii="Times New Roman" w:hAnsi="Times New Roman"/>
                <w:bCs/>
                <w:color w:val="FF0000"/>
                <w:sz w:val="20"/>
                <w:szCs w:val="20"/>
              </w:rPr>
              <w:t xml:space="preserve"> priority) Case 3a: </w:t>
            </w:r>
            <w:r>
              <w:rPr>
                <w:rFonts w:ascii="Times New Roman" w:hAnsi="Times New Roman"/>
                <w:color w:val="FF0000"/>
                <w:sz w:val="20"/>
                <w:szCs w:val="20"/>
              </w:rPr>
              <w:t>NG-RAN node assisted positioning with gNB-side model, AI/ML assisted positioning</w:t>
            </w:r>
          </w:p>
          <w:p>
            <w:pPr>
              <w:numPr>
                <w:ilvl w:val="1"/>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Specify necessary measurements, signalling/mechanism(s) to facilitate LCM operations specific to the Positioning accuracy enhancements use cases, if any</w:t>
            </w:r>
          </w:p>
          <w:p>
            <w:pPr>
              <w:numPr>
                <w:ilvl w:val="1"/>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Investigate and specify the necessary signalling of necessary measurement enhancements (if any)</w:t>
            </w:r>
          </w:p>
          <w:p>
            <w:pPr>
              <w:numPr>
                <w:ilvl w:val="1"/>
                <w:numId w:val="7"/>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Enabling method(s) to ensure consistency between training and inference regarding NW-side additional conditions (if identified) for inference at UE for relevant positioning sub use cases</w:t>
            </w:r>
          </w:p>
          <w:p>
            <w:pPr>
              <w:numPr>
                <w:ilvl w:val="0"/>
                <w:numId w:val="8"/>
              </w:numPr>
              <w:adjustRightInd w:val="0"/>
              <w:snapToGrid w:val="0"/>
              <w:spacing w:before="156" w:beforeLines="50" w:after="156" w:afterLines="50" w:line="240" w:lineRule="auto"/>
              <w:jc w:val="left"/>
              <w:rPr>
                <w:rFonts w:ascii="Times New Roman" w:hAnsi="Times New Roman"/>
                <w:bCs/>
                <w:color w:val="FF0000"/>
                <w:sz w:val="20"/>
                <w:szCs w:val="20"/>
              </w:rPr>
            </w:pPr>
            <w:r>
              <w:rPr>
                <w:rFonts w:ascii="Times New Roman" w:hAnsi="Times New Roman"/>
                <w:bCs/>
                <w:color w:val="FF0000"/>
                <w:sz w:val="20"/>
                <w:szCs w:val="20"/>
              </w:rPr>
              <w:t xml:space="preserve">Necessity and details of model Identification concept and procedure in the context of LCM [RAN2/RAN1] </w:t>
            </w:r>
          </w:p>
          <w:p>
            <w:pPr>
              <w:numPr>
                <w:ilvl w:val="0"/>
                <w:numId w:val="8"/>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 xml:space="preserve">CN/OAM/OTT collection of UE-sided model training data [RAN2/RAN1]: </w:t>
            </w:r>
          </w:p>
          <w:p>
            <w:pPr>
              <w:numPr>
                <w:ilvl w:val="1"/>
                <w:numId w:val="8"/>
              </w:numPr>
              <w:adjustRightInd w:val="0"/>
              <w:snapToGrid w:val="0"/>
              <w:spacing w:before="156" w:beforeLines="50" w:after="156" w:afterLines="50" w:line="240" w:lineRule="auto"/>
              <w:jc w:val="left"/>
              <w:rPr>
                <w:rFonts w:ascii="Times New Roman" w:hAnsi="Times New Roman"/>
                <w:bCs/>
                <w:sz w:val="20"/>
                <w:szCs w:val="20"/>
              </w:rPr>
            </w:pPr>
            <w:bookmarkStart w:id="5" w:name="_Hlk152950182"/>
            <w:r>
              <w:rPr>
                <w:rFonts w:ascii="Times New Roman" w:hAnsi="Times New Roman"/>
                <w:bCs/>
                <w:sz w:val="20"/>
                <w:szCs w:val="20"/>
              </w:rPr>
              <w:t>For the FS_NR_AIML_Air study use cases, identify the corresponding contents of UE data collection</w:t>
            </w:r>
          </w:p>
          <w:p>
            <w:pPr>
              <w:numPr>
                <w:ilvl w:val="1"/>
                <w:numId w:val="8"/>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Analyse the UE data collection mechanisms identified during the FS_NR_AIML_Air (TR 38.843 section 7.2.1.3.2) study along with the implications and limitations of each of the methods</w:t>
            </w:r>
            <w:bookmarkEnd w:id="5"/>
            <w:r>
              <w:rPr>
                <w:rFonts w:ascii="Times New Roman" w:hAnsi="Times New Roman"/>
                <w:bCs/>
                <w:sz w:val="20"/>
                <w:szCs w:val="20"/>
              </w:rPr>
              <w:t xml:space="preserve"> </w:t>
            </w:r>
          </w:p>
          <w:p>
            <w:pPr>
              <w:numPr>
                <w:ilvl w:val="0"/>
                <w:numId w:val="8"/>
              </w:numPr>
              <w:adjustRightInd w:val="0"/>
              <w:snapToGrid w:val="0"/>
              <w:spacing w:before="156" w:beforeLines="50" w:after="156" w:afterLines="50" w:line="240" w:lineRule="auto"/>
              <w:jc w:val="left"/>
              <w:rPr>
                <w:rFonts w:ascii="Times New Roman" w:hAnsi="Times New Roman"/>
                <w:bCs/>
                <w:sz w:val="20"/>
                <w:szCs w:val="20"/>
              </w:rPr>
            </w:pPr>
            <w:r>
              <w:rPr>
                <w:rFonts w:ascii="Times New Roman" w:hAnsi="Times New Roman"/>
                <w:bCs/>
                <w:sz w:val="20"/>
                <w:szCs w:val="20"/>
              </w:rPr>
              <w:t xml:space="preserve">Model transfer/delivery [RAN2/RAN1]: </w:t>
            </w:r>
          </w:p>
          <w:p>
            <w:pPr>
              <w:numPr>
                <w:ilvl w:val="1"/>
                <w:numId w:val="8"/>
              </w:numPr>
              <w:adjustRightInd w:val="0"/>
              <w:snapToGrid w:val="0"/>
              <w:spacing w:before="156" w:beforeLines="50" w:after="156" w:afterLines="50" w:line="240" w:lineRule="auto"/>
              <w:jc w:val="left"/>
              <w:rPr>
                <w:rFonts w:ascii="Times New Roman" w:hAnsi="Times New Roman"/>
                <w:bCs/>
                <w:sz w:val="20"/>
                <w:szCs w:val="20"/>
              </w:rPr>
            </w:pPr>
            <w:bookmarkStart w:id="6" w:name="_Hlk152950348"/>
            <w:r>
              <w:rPr>
                <w:rFonts w:ascii="Times New Roman" w:hAnsi="Times New Roman"/>
                <w:bCs/>
                <w:sz w:val="20"/>
                <w:szCs w:val="20"/>
              </w:rPr>
              <w:t xml:space="preserve">Determine whether there is a need to consider standardised solutions for transferring/delivering AI/ML model(s) considering at least the solutions identified during the </w:t>
            </w:r>
            <w:bookmarkEnd w:id="6"/>
            <w:r>
              <w:rPr>
                <w:rFonts w:ascii="Times New Roman" w:hAnsi="Times New Roman"/>
                <w:bCs/>
                <w:sz w:val="20"/>
                <w:szCs w:val="20"/>
              </w:rPr>
              <w:t xml:space="preserve">FS_NR_AIML_Air study </w:t>
            </w:r>
          </w:p>
          <w:p>
            <w:pPr>
              <w:adjustRightInd w:val="0"/>
              <w:snapToGrid w:val="0"/>
              <w:spacing w:before="156" w:beforeLines="50" w:after="156" w:afterLines="50" w:line="240" w:lineRule="auto"/>
              <w:rPr>
                <w:rFonts w:ascii="Times New Roman" w:hAnsi="Times New Roman"/>
                <w:bCs/>
                <w:sz w:val="20"/>
                <w:szCs w:val="20"/>
              </w:rPr>
            </w:pPr>
          </w:p>
          <w:p>
            <w:pPr>
              <w:adjustRightInd w:val="0"/>
              <w:snapToGrid w:val="0"/>
              <w:spacing w:before="156" w:beforeLines="50" w:after="156" w:afterLines="50" w:line="240" w:lineRule="auto"/>
              <w:rPr>
                <w:rFonts w:ascii="Times New Roman" w:hAnsi="Times New Roman"/>
                <w:bCs/>
                <w:sz w:val="20"/>
                <w:szCs w:val="20"/>
              </w:rPr>
            </w:pPr>
            <w:r>
              <w:rPr>
                <w:rFonts w:ascii="Times New Roman" w:hAnsi="Times New Roman"/>
                <w:bCs/>
                <w:sz w:val="20"/>
                <w:szCs w:val="20"/>
              </w:rPr>
              <w:t xml:space="preserve">NOTE: offline training is assumed for the purpose of this project. </w:t>
            </w:r>
          </w:p>
          <w:p>
            <w:pPr>
              <w:adjustRightInd w:val="0"/>
              <w:snapToGrid w:val="0"/>
              <w:spacing w:before="156" w:beforeLines="50" w:after="156" w:afterLines="50" w:line="240" w:lineRule="auto"/>
              <w:rPr>
                <w:rFonts w:ascii="Times New Roman" w:hAnsi="Times New Roman"/>
                <w:bCs/>
                <w:sz w:val="20"/>
                <w:szCs w:val="20"/>
              </w:rPr>
            </w:pPr>
            <w:r>
              <w:rPr>
                <w:rFonts w:ascii="Times New Roman" w:hAnsi="Times New Roman"/>
                <w:bCs/>
                <w:sz w:val="20"/>
                <w:szCs w:val="20"/>
              </w:rPr>
              <w:t xml:space="preserve">NOTE: the outcome of the study objectives should be captured in TR 38.843 for future reference. </w:t>
            </w:r>
          </w:p>
          <w:p>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bCs/>
                <w:sz w:val="20"/>
                <w:szCs w:val="20"/>
              </w:rPr>
              <w:t xml:space="preserve">NOTE: </w:t>
            </w:r>
            <w:r>
              <w:rPr>
                <w:rFonts w:ascii="Times New Roman" w:hAnsi="Times New Roman"/>
                <w:sz w:val="20"/>
                <w:szCs w:val="20"/>
              </w:rPr>
              <w:t xml:space="preserve">Coordination with SA/SA WGs of the ongoing study/work as it may relate to their required work. </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eastAsia="宋体"/>
          <w:sz w:val="20"/>
          <w:szCs w:val="20"/>
          <w:lang w:val="en-US" w:eastAsia="zh-CN"/>
        </w:rPr>
        <w:t xml:space="preserve">This contribution provides our view on LCM for </w:t>
      </w:r>
      <w:r>
        <w:rPr>
          <w:rFonts w:hint="eastAsia" w:ascii="Times New Roman" w:hAnsi="Times New Roman" w:eastAsia="宋体"/>
          <w:sz w:val="20"/>
          <w:szCs w:val="20"/>
          <w:lang w:val="en-US" w:eastAsia="zh-CN"/>
        </w:rPr>
        <w:t>AI/ML positioning use case</w:t>
      </w:r>
      <w:r>
        <w:rPr>
          <w:rFonts w:ascii="Times New Roman" w:hAnsi="Times New Roman" w:eastAsia="宋体"/>
          <w:sz w:val="20"/>
          <w:szCs w:val="20"/>
          <w:lang w:val="en-US" w:eastAsia="zh-CN"/>
        </w:rPr>
        <w:t xml:space="preserve">, focusing on </w:t>
      </w:r>
      <w:r>
        <w:rPr>
          <w:rFonts w:hint="eastAsia" w:ascii="Times New Roman" w:hAnsi="Times New Roman" w:eastAsia="宋体"/>
          <w:sz w:val="20"/>
          <w:szCs w:val="20"/>
          <w:lang w:val="en-US" w:eastAsia="zh-CN"/>
        </w:rPr>
        <w:t>use case 1/2a/2b (high priority from RAN2 perspective) and use case 3a/3b(low priority from RAN2 perspective)</w:t>
      </w:r>
      <w:r>
        <w:rPr>
          <w:rFonts w:ascii="Times New Roman" w:hAnsi="Times New Roman" w:eastAsia="宋体"/>
          <w:sz w:val="20"/>
          <w:szCs w:val="20"/>
          <w:lang w:val="en-US" w:eastAsia="zh-CN"/>
        </w:rPr>
        <w:t xml:space="preserve">.  </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sz w:val="28"/>
          <w:szCs w:val="28"/>
          <w:lang w:val="en-US" w:eastAsia="zh-CN"/>
        </w:rPr>
      </w:pPr>
      <w:r>
        <w:rPr>
          <w:rFonts w:cs="Arial"/>
          <w:kern w:val="0"/>
          <w:sz w:val="28"/>
          <w:szCs w:val="28"/>
          <w:lang w:val="en-US" w:eastAsia="zh-CN"/>
        </w:rPr>
        <w:t>Discussion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The 5 AI/ML positioning use cases described in the WID is briefly depicted as follows: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drawing>
          <wp:inline distT="0" distB="0" distL="114300" distR="114300">
            <wp:extent cx="3728085" cy="935990"/>
            <wp:effectExtent l="0" t="0" r="5715" b="16510"/>
            <wp:docPr id="8" name="图片 8" descr="usecas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case 1"/>
                    <pic:cNvPicPr>
                      <a:picLocks noChangeAspect="1"/>
                    </pic:cNvPicPr>
                  </pic:nvPicPr>
                  <pic:blipFill>
                    <a:blip r:embed="rId9"/>
                    <a:stretch>
                      <a:fillRect/>
                    </a:stretch>
                  </pic:blipFill>
                  <pic:spPr>
                    <a:xfrm>
                      <a:off x="0" y="0"/>
                      <a:ext cx="3728085" cy="9359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ascii="Times New Roman" w:hAnsi="Times New Roman"/>
          <w:sz w:val="20"/>
          <w:szCs w:val="20"/>
          <w:lang w:val="en-US" w:eastAsia="zh-CN"/>
        </w:rPr>
      </w:pPr>
      <w:r>
        <w:rPr>
          <w:rFonts w:hint="eastAsia" w:ascii="Times New Roman" w:hAnsi="Times New Roman"/>
          <w:sz w:val="20"/>
          <w:szCs w:val="20"/>
          <w:lang w:val="en-US" w:eastAsia="zh-CN"/>
        </w:rPr>
        <w:t>Figure 1. Use case 1, model inference is at UE side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drawing>
          <wp:inline distT="0" distB="0" distL="114300" distR="114300">
            <wp:extent cx="4596130" cy="972185"/>
            <wp:effectExtent l="0" t="0" r="0" b="18415"/>
            <wp:docPr id="9" name="图片 9" descr="usecase 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usecase 2a"/>
                    <pic:cNvPicPr>
                      <a:picLocks noChangeAspect="1"/>
                    </pic:cNvPicPr>
                  </pic:nvPicPr>
                  <pic:blipFill>
                    <a:blip r:embed="rId10"/>
                    <a:stretch>
                      <a:fillRect/>
                    </a:stretch>
                  </pic:blipFill>
                  <pic:spPr>
                    <a:xfrm>
                      <a:off x="0" y="0"/>
                      <a:ext cx="4596130" cy="97218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ascii="Times New Roman" w:hAnsi="Times New Roman"/>
          <w:sz w:val="20"/>
          <w:szCs w:val="20"/>
          <w:lang w:val="en-US" w:eastAsia="zh-CN"/>
        </w:rPr>
      </w:pPr>
      <w:r>
        <w:rPr>
          <w:rFonts w:hint="eastAsia" w:ascii="Times New Roman" w:hAnsi="Times New Roman"/>
          <w:sz w:val="20"/>
          <w:szCs w:val="20"/>
          <w:lang w:val="en-US" w:eastAsia="zh-CN"/>
        </w:rPr>
        <w:t>Figure 2. Use case 2a, model inference is at UE side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0"/>
          <w:szCs w:val="20"/>
          <w:lang w:val="en-US" w:eastAsia="zh-CN"/>
        </w:rPr>
      </w:pPr>
      <w:r>
        <w:rPr>
          <w:sz w:val="20"/>
          <w:szCs w:val="20"/>
          <w:lang w:val="en-US" w:eastAsia="zh-CN"/>
        </w:rPr>
        <w:drawing>
          <wp:inline distT="0" distB="0" distL="114300" distR="114300">
            <wp:extent cx="3990975" cy="935990"/>
            <wp:effectExtent l="0" t="0" r="0" b="16510"/>
            <wp:docPr id="10" name="图片 10" descr="usecase 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usecase 2b"/>
                    <pic:cNvPicPr>
                      <a:picLocks noChangeAspect="1"/>
                    </pic:cNvPicPr>
                  </pic:nvPicPr>
                  <pic:blipFill>
                    <a:blip r:embed="rId11"/>
                    <a:stretch>
                      <a:fillRect/>
                    </a:stretch>
                  </pic:blipFill>
                  <pic:spPr>
                    <a:xfrm>
                      <a:off x="0" y="0"/>
                      <a:ext cx="3990975" cy="9359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ascii="Times New Roman" w:hAnsi="Times New Roman"/>
          <w:sz w:val="20"/>
          <w:szCs w:val="20"/>
          <w:lang w:val="en-US" w:eastAsia="zh-CN"/>
        </w:rPr>
      </w:pPr>
      <w:r>
        <w:rPr>
          <w:rFonts w:hint="eastAsia" w:ascii="Times New Roman" w:hAnsi="Times New Roman"/>
          <w:sz w:val="20"/>
          <w:szCs w:val="20"/>
          <w:lang w:val="en-US" w:eastAsia="zh-CN"/>
        </w:rPr>
        <w:t>Figure 3. Use case 2b, model inference is at LMF side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drawing>
          <wp:inline distT="0" distB="0" distL="114300" distR="114300">
            <wp:extent cx="4409440" cy="935990"/>
            <wp:effectExtent l="0" t="0" r="0" b="16510"/>
            <wp:docPr id="11" name="图片 11" descr="usecase 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usecase 3a"/>
                    <pic:cNvPicPr>
                      <a:picLocks noChangeAspect="1"/>
                    </pic:cNvPicPr>
                  </pic:nvPicPr>
                  <pic:blipFill>
                    <a:blip r:embed="rId12"/>
                    <a:stretch>
                      <a:fillRect/>
                    </a:stretch>
                  </pic:blipFill>
                  <pic:spPr>
                    <a:xfrm>
                      <a:off x="0" y="0"/>
                      <a:ext cx="4409440" cy="9359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ascii="Times New Roman" w:hAnsi="Times New Roman"/>
          <w:sz w:val="20"/>
          <w:szCs w:val="20"/>
          <w:lang w:val="en-US" w:eastAsia="zh-CN"/>
        </w:rPr>
      </w:pPr>
      <w:r>
        <w:rPr>
          <w:rFonts w:hint="eastAsia" w:ascii="Times New Roman" w:hAnsi="Times New Roman"/>
          <w:sz w:val="20"/>
          <w:szCs w:val="20"/>
          <w:lang w:val="en-US" w:eastAsia="zh-CN"/>
        </w:rPr>
        <w:t>Figure 4. Use case 3a, model inference is at gNB side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0"/>
          <w:szCs w:val="20"/>
          <w:lang w:val="en-US" w:eastAsia="zh-CN"/>
        </w:rPr>
      </w:pPr>
      <w:r>
        <w:rPr>
          <w:sz w:val="20"/>
          <w:szCs w:val="20"/>
          <w:lang w:val="en-US" w:eastAsia="zh-CN"/>
        </w:rPr>
        <w:drawing>
          <wp:inline distT="0" distB="0" distL="114300" distR="114300">
            <wp:extent cx="3982085" cy="935990"/>
            <wp:effectExtent l="0" t="0" r="0" b="16510"/>
            <wp:docPr id="12" name="图片 12" descr="usecase 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usecase 3b"/>
                    <pic:cNvPicPr>
                      <a:picLocks noChangeAspect="1"/>
                    </pic:cNvPicPr>
                  </pic:nvPicPr>
                  <pic:blipFill>
                    <a:blip r:embed="rId13"/>
                    <a:stretch>
                      <a:fillRect/>
                    </a:stretch>
                  </pic:blipFill>
                  <pic:spPr>
                    <a:xfrm>
                      <a:off x="0" y="0"/>
                      <a:ext cx="3982085" cy="9359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ascii="Times New Roman" w:hAnsi="Times New Roman"/>
          <w:sz w:val="20"/>
          <w:szCs w:val="20"/>
          <w:lang w:val="en-US" w:eastAsia="zh-CN"/>
        </w:rPr>
      </w:pPr>
      <w:r>
        <w:rPr>
          <w:rFonts w:hint="eastAsia" w:ascii="Times New Roman" w:hAnsi="Times New Roman"/>
          <w:sz w:val="20"/>
          <w:szCs w:val="20"/>
          <w:lang w:val="en-US" w:eastAsia="zh-CN"/>
        </w:rPr>
        <w:t>Figure 5. Use case 3b, model inference is at LMF side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It can be seen that among the 5 use cases, only use case 1, use case 2a and use case 2b are involved with LMF-UE signalings.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Observation 1: use case 1, use case 2a and use case 2b have clear RAN2 LPP specification impacts.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Although use case 2b is not UE-side model, use case 2b requires UE to report PRS channel measurement (which is a different kind of report compared with use case 1 and 2a), so it is worth to discuss how use case 2b works by the UE, similar like use case 1 and 2a.</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Proposal 1: Support RAN2 to discuss the LCM of use case 1, 2a and 2b together, even if use case 2b is not UE-side model.</w:t>
      </w:r>
    </w:p>
    <w:p>
      <w:pPr>
        <w:pStyle w:val="3"/>
        <w:bidi w:val="0"/>
        <w:rPr>
          <w:rFonts w:hint="default"/>
          <w:lang w:val="en-US" w:eastAsia="zh-CN"/>
        </w:rPr>
      </w:pPr>
      <w:r>
        <w:rPr>
          <w:rFonts w:hint="eastAsia"/>
          <w:lang w:val="en-US" w:eastAsia="zh-CN"/>
        </w:rPr>
        <w:t>LCM of UE involved use case (use case 1, 2a and 2b)</w:t>
      </w:r>
    </w:p>
    <w:p>
      <w:pPr>
        <w:adjustRightInd w:val="0"/>
        <w:snapToGrid w:val="0"/>
        <w:spacing w:before="156" w:beforeLines="50" w:after="156" w:afterLines="50" w:line="240" w:lineRule="auto"/>
        <w:rPr>
          <w:rFonts w:hint="eastAsia" w:ascii="Times New Roman" w:hAnsi="Times New Roman" w:eastAsia="宋体"/>
          <w:lang w:val="en-US" w:eastAsia="zh-CN"/>
        </w:rPr>
      </w:pPr>
      <w:r>
        <w:rPr>
          <w:rFonts w:hint="eastAsia" w:ascii="Times New Roman" w:hAnsi="Times New Roman" w:eastAsia="宋体"/>
          <w:lang w:val="en-US" w:eastAsia="zh-CN"/>
        </w:rPr>
        <w:t>Based on the discussion so far, a comprehensive understanding of functionality and AI model is, the functionality can be recognized per use case, different functionality can be distinguished by different UE capability and different UE applicable functionality. Under each functionality (i.e., use case), there can be multiple AI models, different models can be distinguished by different NW/UE additional conditions.</w:t>
      </w:r>
    </w:p>
    <w:p>
      <w:pPr>
        <w:adjustRightInd w:val="0"/>
        <w:snapToGrid w:val="0"/>
        <w:spacing w:before="156" w:beforeLines="50" w:after="156" w:afterLines="50" w:line="240" w:lineRule="auto"/>
        <w:rPr>
          <w:rFonts w:hint="eastAsia" w:ascii="Times New Roman" w:hAnsi="Times New Roman" w:eastAsia="宋体"/>
          <w:lang w:val="en-US" w:eastAsia="zh-CN"/>
        </w:rPr>
      </w:pPr>
      <w:r>
        <w:rPr>
          <w:rFonts w:hint="eastAsia" w:ascii="Times New Roman" w:hAnsi="Times New Roman" w:eastAsia="宋体"/>
          <w:lang w:val="en-US" w:eastAsia="zh-CN"/>
        </w:rPr>
        <w:t xml:space="preserve">We would like to note that the additional condition and AI model should not have strict one-to-one mapping, and it is hard to set up explicit relationship between additional conditions and AI models, for example, an AI model can have good generalization and it can work well under several different additional conditions. </w:t>
      </w:r>
    </w:p>
    <w:p>
      <w:pPr>
        <w:adjustRightInd w:val="0"/>
        <w:snapToGrid w:val="0"/>
        <w:spacing w:before="156" w:beforeLines="50" w:after="156" w:afterLines="50" w:line="240" w:lineRule="auto"/>
        <w:jc w:val="center"/>
        <w:rPr>
          <w:rFonts w:hint="eastAsia" w:ascii="Times New Roman" w:hAnsi="Times New Roman" w:eastAsia="宋体"/>
          <w:lang w:val="en-US" w:eastAsia="zh-CN"/>
        </w:rPr>
      </w:pPr>
      <w:r>
        <w:rPr>
          <w:rFonts w:hint="eastAsia" w:ascii="Times New Roman" w:hAnsi="Times New Roman" w:eastAsia="宋体"/>
          <w:lang w:val="en-US" w:eastAsia="zh-CN"/>
        </w:rPr>
        <w:drawing>
          <wp:inline distT="0" distB="0" distL="114300" distR="114300">
            <wp:extent cx="4532630" cy="2124075"/>
            <wp:effectExtent l="0" t="0" r="0" b="9525"/>
            <wp:docPr id="13" name="图片 13" descr="functionality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unctionality model"/>
                    <pic:cNvPicPr>
                      <a:picLocks noChangeAspect="1"/>
                    </pic:cNvPicPr>
                  </pic:nvPicPr>
                  <pic:blipFill>
                    <a:blip r:embed="rId14"/>
                    <a:stretch>
                      <a:fillRect/>
                    </a:stretch>
                  </pic:blipFill>
                  <pic:spPr>
                    <a:xfrm>
                      <a:off x="0" y="0"/>
                      <a:ext cx="4532630" cy="2124075"/>
                    </a:xfrm>
                    <a:prstGeom prst="rect">
                      <a:avLst/>
                    </a:prstGeom>
                  </pic:spPr>
                </pic:pic>
              </a:graphicData>
            </a:graphic>
          </wp:inline>
        </w:drawing>
      </w:r>
    </w:p>
    <w:p>
      <w:pPr>
        <w:adjustRightInd w:val="0"/>
        <w:snapToGrid w:val="0"/>
        <w:spacing w:before="156" w:beforeLines="50" w:after="156" w:afterLines="50" w:line="240" w:lineRule="auto"/>
        <w:jc w:val="center"/>
        <w:rPr>
          <w:rFonts w:hint="eastAsia" w:ascii="Times New Roman" w:hAnsi="Times New Roman" w:eastAsia="宋体"/>
          <w:lang w:val="en-US" w:eastAsia="zh-CN"/>
        </w:rPr>
      </w:pPr>
      <w:r>
        <w:rPr>
          <w:rFonts w:hint="eastAsia" w:ascii="Times New Roman" w:hAnsi="Times New Roman" w:eastAsia="宋体"/>
          <w:lang w:val="en-US" w:eastAsia="zh-CN"/>
        </w:rPr>
        <w:t>Figure 6. An example relationship between functionality and AI model</w:t>
      </w:r>
    </w:p>
    <w:p>
      <w:pPr>
        <w:adjustRightInd w:val="0"/>
        <w:snapToGrid w:val="0"/>
        <w:spacing w:before="156" w:beforeLines="50" w:after="156" w:afterLines="50" w:line="240" w:lineRule="auto"/>
        <w:jc w:val="both"/>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Proposal 2: RAN2 do not specify the mapping between UE/NW additional conditions and AI models.</w:t>
      </w:r>
    </w:p>
    <w:p>
      <w:pPr>
        <w:adjustRightInd w:val="0"/>
        <w:snapToGrid w:val="0"/>
        <w:spacing w:before="156" w:beforeLines="50" w:after="156" w:afterLines="50" w:line="240" w:lineRule="auto"/>
        <w:rPr>
          <w:rFonts w:hint="eastAsia" w:ascii="Times New Roman" w:hAnsi="Times New Roman" w:eastAsia="宋体"/>
          <w:lang w:val="en-US" w:eastAsia="zh-CN"/>
        </w:rPr>
      </w:pPr>
      <w:r>
        <w:rPr>
          <w:rFonts w:hint="eastAsia" w:ascii="Times New Roman" w:hAnsi="Times New Roman" w:eastAsia="宋体"/>
          <w:lang w:val="en-US" w:eastAsia="zh-CN"/>
        </w:rPr>
        <w:t>For AI/ML positioning, the functionality can be recognized as use case 1, use case 2a and use case 2b, and the UE applicable functionality and/or the UE additional conditions can include at least the following:</w:t>
      </w:r>
    </w:p>
    <w:p>
      <w:pPr>
        <w:numPr>
          <w:ilvl w:val="0"/>
          <w:numId w:val="9"/>
        </w:numPr>
        <w:adjustRightInd w:val="0"/>
        <w:snapToGrid w:val="0"/>
        <w:spacing w:before="156" w:beforeLines="50" w:after="156" w:afterLines="50" w:line="240" w:lineRule="auto"/>
        <w:ind w:left="42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UE area information;</w:t>
      </w:r>
    </w:p>
    <w:p>
      <w:pPr>
        <w:numPr>
          <w:ilvl w:val="0"/>
          <w:numId w:val="9"/>
        </w:numPr>
        <w:adjustRightInd w:val="0"/>
        <w:snapToGrid w:val="0"/>
        <w:spacing w:before="156" w:beforeLines="50" w:after="156" w:afterLines="50" w:line="240" w:lineRule="auto"/>
        <w:ind w:left="42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UE velocity;</w:t>
      </w:r>
    </w:p>
    <w:p>
      <w:pPr>
        <w:numPr>
          <w:ilvl w:val="0"/>
          <w:numId w:val="9"/>
        </w:numPr>
        <w:adjustRightInd w:val="0"/>
        <w:snapToGrid w:val="0"/>
        <w:spacing w:before="156" w:beforeLines="50" w:after="156" w:afterLines="50" w:line="240" w:lineRule="auto"/>
        <w:ind w:left="42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UE left power;</w:t>
      </w:r>
    </w:p>
    <w:p>
      <w:pPr>
        <w:numPr>
          <w:ilvl w:val="0"/>
          <w:numId w:val="9"/>
        </w:numPr>
        <w:adjustRightInd w:val="0"/>
        <w:snapToGrid w:val="0"/>
        <w:spacing w:before="156" w:beforeLines="50" w:after="156" w:afterLines="50" w:line="240" w:lineRule="auto"/>
        <w:ind w:left="42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UE left memory;</w:t>
      </w:r>
    </w:p>
    <w:p>
      <w:pPr>
        <w:numPr>
          <w:ilvl w:val="0"/>
          <w:numId w:val="9"/>
        </w:numPr>
        <w:adjustRightInd w:val="0"/>
        <w:snapToGrid w:val="0"/>
        <w:spacing w:before="156" w:beforeLines="50" w:after="156" w:afterLines="50" w:line="240" w:lineRule="auto"/>
        <w:ind w:left="42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w:t>
      </w:r>
    </w:p>
    <w:p>
      <w:pPr>
        <w:adjustRightInd w:val="0"/>
        <w:snapToGrid w:val="0"/>
        <w:spacing w:before="156" w:beforeLines="50" w:after="156" w:afterLines="50" w:line="240" w:lineRule="auto"/>
        <w:rPr>
          <w:rFonts w:hint="eastAsia" w:ascii="Times New Roman" w:hAnsi="Times New Roman" w:eastAsia="宋体"/>
          <w:lang w:val="en-US" w:eastAsia="zh-CN"/>
        </w:rPr>
      </w:pPr>
      <w:r>
        <w:rPr>
          <w:rFonts w:hint="eastAsia" w:ascii="Times New Roman" w:hAnsi="Times New Roman" w:eastAsia="宋体"/>
          <w:lang w:val="en-US" w:eastAsia="zh-CN"/>
        </w:rPr>
        <w:t>For AI/ML positioning, the network additional conditions can include at least the following:</w:t>
      </w:r>
    </w:p>
    <w:p>
      <w:pPr>
        <w:numPr>
          <w:ilvl w:val="0"/>
          <w:numId w:val="9"/>
        </w:numPr>
        <w:adjustRightInd w:val="0"/>
        <w:snapToGrid w:val="0"/>
        <w:spacing w:before="156" w:beforeLines="50" w:after="156" w:afterLines="50" w:line="240" w:lineRule="auto"/>
        <w:ind w:left="42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TRP location;</w:t>
      </w:r>
    </w:p>
    <w:p>
      <w:pPr>
        <w:numPr>
          <w:ilvl w:val="0"/>
          <w:numId w:val="9"/>
        </w:numPr>
        <w:adjustRightInd w:val="0"/>
        <w:snapToGrid w:val="0"/>
        <w:spacing w:before="156" w:beforeLines="50" w:after="156" w:afterLines="50" w:line="240" w:lineRule="auto"/>
        <w:ind w:left="42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TRP synchronization error;</w:t>
      </w:r>
    </w:p>
    <w:p>
      <w:pPr>
        <w:numPr>
          <w:ilvl w:val="0"/>
          <w:numId w:val="9"/>
        </w:numPr>
        <w:adjustRightInd w:val="0"/>
        <w:snapToGrid w:val="0"/>
        <w:spacing w:before="156" w:beforeLines="50" w:after="156" w:afterLines="50" w:line="240" w:lineRule="auto"/>
        <w:ind w:left="42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TRP number;</w:t>
      </w:r>
    </w:p>
    <w:p>
      <w:pPr>
        <w:numPr>
          <w:ilvl w:val="0"/>
          <w:numId w:val="9"/>
        </w:numPr>
        <w:adjustRightInd w:val="0"/>
        <w:snapToGrid w:val="0"/>
        <w:spacing w:before="156" w:beforeLines="50" w:after="156" w:afterLines="50" w:line="240" w:lineRule="auto"/>
        <w:ind w:left="42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PRS configuration;</w:t>
      </w:r>
    </w:p>
    <w:p>
      <w:pPr>
        <w:numPr>
          <w:ilvl w:val="0"/>
          <w:numId w:val="9"/>
        </w:numPr>
        <w:adjustRightInd w:val="0"/>
        <w:snapToGrid w:val="0"/>
        <w:spacing w:before="156" w:beforeLines="50" w:after="156" w:afterLines="50" w:line="240" w:lineRule="auto"/>
        <w:ind w:left="42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w:t>
      </w:r>
    </w:p>
    <w:p>
      <w:pPr>
        <w:adjustRightInd w:val="0"/>
        <w:snapToGrid w:val="0"/>
        <w:spacing w:before="156" w:beforeLines="50" w:after="156" w:afterLines="50" w:line="240" w:lineRule="auto"/>
        <w:rPr>
          <w:rFonts w:hint="default" w:ascii="Times New Roman" w:hAnsi="Times New Roman" w:eastAsia="宋体"/>
          <w:lang w:val="en-US" w:eastAsia="zh-CN"/>
        </w:rPr>
      </w:pPr>
      <w:r>
        <w:rPr>
          <w:rFonts w:hint="eastAsia" w:ascii="Times New Roman" w:hAnsi="Times New Roman" w:eastAsia="宋体"/>
          <w:lang w:val="en-US" w:eastAsia="zh-CN"/>
        </w:rPr>
        <w:t>It can be seen that for AI/ML positioning, the aforementioned NW additional conditions can already be indicated to the UE in current LPP spec.</w:t>
      </w:r>
    </w:p>
    <w:p>
      <w:pPr>
        <w:adjustRightInd w:val="0"/>
        <w:snapToGrid w:val="0"/>
        <w:spacing w:before="156" w:beforeLines="50" w:after="156" w:afterLines="50" w:line="240" w:lineRule="auto"/>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Observation 2: For AI/ML positioning, the NW additional conditions (e.g., TRP location, TRP synchronization error, TRP number, PRS configuration) can already be indicated to the UE in current LPP spec.</w:t>
      </w:r>
    </w:p>
    <w:p>
      <w:pPr>
        <w:adjustRightInd w:val="0"/>
        <w:snapToGrid w:val="0"/>
        <w:spacing w:before="156" w:beforeLines="50" w:after="156" w:afterLines="50" w:line="240" w:lineRule="auto"/>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3: For AI/ML positioning, the functionality can be recognized as use case 1, use case 2a and use case 2b.</w:t>
      </w:r>
    </w:p>
    <w:p>
      <w:pPr>
        <w:adjustRightInd w:val="0"/>
        <w:snapToGrid w:val="0"/>
        <w:spacing w:before="156" w:beforeLines="50" w:after="156" w:afterLines="50" w:line="240" w:lineRule="auto"/>
        <w:rPr>
          <w:rFonts w:hint="eastAsia" w:ascii="Times New Roman" w:hAnsi="Times New Roman" w:eastAsia="宋体"/>
          <w:lang w:val="en-US" w:eastAsia="zh-CN"/>
        </w:rPr>
      </w:pPr>
      <w:r>
        <w:rPr>
          <w:rFonts w:hint="eastAsia" w:ascii="Times New Roman" w:hAnsi="Times New Roman" w:eastAsia="宋体"/>
          <w:lang w:val="en-US" w:eastAsia="zh-CN"/>
        </w:rPr>
        <w:t>RAN2#125-bis[2] has made the following agreement for UE side model:</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hint="default" w:ascii="Times New Roman" w:hAnsi="Times New Roman" w:eastAsia="宋体"/>
                <w:vertAlign w:val="baseline"/>
                <w:lang w:val="en-US" w:eastAsia="zh-CN"/>
              </w:rPr>
            </w:pPr>
            <w:r>
              <w:rPr>
                <w:rFonts w:hint="default" w:ascii="Times New Roman" w:hAnsi="Times New Roman" w:eastAsia="宋体"/>
                <w:vertAlign w:val="baseline"/>
                <w:lang w:val="en-US" w:eastAsia="zh-CN"/>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pPr>
              <w:adjustRightInd w:val="0"/>
              <w:snapToGrid w:val="0"/>
              <w:spacing w:before="156" w:beforeLines="50" w:after="156" w:afterLines="50" w:line="240" w:lineRule="auto"/>
              <w:rPr>
                <w:rFonts w:hint="default" w:ascii="Times New Roman" w:hAnsi="Times New Roman" w:eastAsia="宋体"/>
                <w:vertAlign w:val="baseline"/>
                <w:lang w:val="en-US" w:eastAsia="zh-CN"/>
              </w:rPr>
            </w:pPr>
            <w:r>
              <w:rPr>
                <w:rFonts w:hint="default" w:ascii="Times New Roman" w:hAnsi="Times New Roman" w:eastAsia="宋体"/>
                <w:vertAlign w:val="baseline"/>
                <w:lang w:val="en-US" w:eastAsia="zh-CN"/>
              </w:rPr>
              <w:t>“UE-autonomous, UE’s decision is not reported to the network” is not considered for Rel-19</w:t>
            </w:r>
            <w:r>
              <w:rPr>
                <w:rFonts w:hint="eastAsia" w:ascii="Times New Roman" w:hAnsi="Times New Roman" w:eastAsia="宋体"/>
                <w:vertAlign w:val="baseline"/>
                <w:lang w:val="en-US" w:eastAsia="zh-CN"/>
              </w:rPr>
              <w:t>.</w:t>
            </w:r>
          </w:p>
        </w:tc>
      </w:tr>
    </w:tbl>
    <w:p>
      <w:pPr>
        <w:adjustRightInd w:val="0"/>
        <w:snapToGrid w:val="0"/>
        <w:spacing w:before="156" w:beforeLines="50" w:after="156" w:afterLines="50" w:line="240" w:lineRule="auto"/>
        <w:rPr>
          <w:rFonts w:hint="eastAsia" w:ascii="Times New Roman" w:hAnsi="Times New Roman" w:eastAsia="宋体"/>
          <w:lang w:val="en-US" w:eastAsia="zh-CN"/>
        </w:rPr>
      </w:pPr>
      <w:r>
        <w:rPr>
          <w:rFonts w:hint="eastAsia" w:ascii="Times New Roman" w:hAnsi="Times New Roman" w:eastAsia="宋体"/>
          <w:lang w:val="en-US" w:eastAsia="zh-CN"/>
        </w:rPr>
        <w:t>Based on the above understanding of functionality and AI model, there can have following approaches to control the LCM:</w:t>
      </w:r>
    </w:p>
    <w:p>
      <w:pPr>
        <w:numPr>
          <w:ilvl w:val="0"/>
          <w:numId w:val="10"/>
        </w:numPr>
        <w:adjustRightInd w:val="0"/>
        <w:snapToGrid w:val="0"/>
        <w:spacing w:before="156" w:beforeLines="50" w:after="156" w:afterLines="50" w:line="240" w:lineRule="auto"/>
        <w:ind w:left="420" w:leftChars="0" w:hanging="420" w:firstLineChars="0"/>
        <w:rPr>
          <w:rFonts w:hint="default" w:ascii="Times New Roman" w:hAnsi="Times New Roman" w:eastAsia="宋体"/>
          <w:u w:val="single"/>
          <w:lang w:val="en-US" w:eastAsia="zh-CN"/>
        </w:rPr>
      </w:pPr>
      <w:r>
        <w:rPr>
          <w:rFonts w:hint="eastAsia" w:ascii="Times New Roman" w:hAnsi="Times New Roman" w:eastAsia="宋体"/>
          <w:u w:val="single"/>
          <w:lang w:val="en-US" w:eastAsia="zh-CN"/>
        </w:rPr>
        <w:t>Approach 1: LMF activates/deactivates the functionality, and LMF activates/deactivates the AI model of the functionality.</w:t>
      </w:r>
    </w:p>
    <w:p>
      <w:pPr>
        <w:numPr>
          <w:ilvl w:val="1"/>
          <w:numId w:val="10"/>
        </w:numPr>
        <w:adjustRightInd w:val="0"/>
        <w:snapToGrid w:val="0"/>
        <w:spacing w:before="156" w:beforeLines="50" w:after="156" w:afterLines="50" w:line="240" w:lineRule="auto"/>
        <w:ind w:left="84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Approach 1 means whether UE activates/deactivates use case 1, use case 2a or use case 2b is determined and indicated by LMF. For use case 1 and use case 2a where the AI model is at UE side, LMF should further determine which AI model under the indicated use case should be activated/deactivated. That is to say, LMF needs to get UE</w:t>
      </w:r>
      <w:r>
        <w:rPr>
          <w:rFonts w:hint="default" w:ascii="Times New Roman" w:hAnsi="Times New Roman" w:eastAsia="宋体"/>
          <w:lang w:val="en-US" w:eastAsia="zh-CN"/>
        </w:rPr>
        <w:t>’</w:t>
      </w:r>
      <w:r>
        <w:rPr>
          <w:rFonts w:hint="eastAsia" w:ascii="Times New Roman" w:hAnsi="Times New Roman" w:eastAsia="宋体"/>
          <w:lang w:val="en-US" w:eastAsia="zh-CN"/>
        </w:rPr>
        <w:t>s applicable functionality to know which functionalities is available/unavailable to UE, and LMF should also know the relationship between UE side additional condition and AI model, so that LMF knows which AI model is available/unavailable to UE.</w:t>
      </w:r>
    </w:p>
    <w:p>
      <w:pPr>
        <w:numPr>
          <w:ilvl w:val="0"/>
          <w:numId w:val="10"/>
        </w:numPr>
        <w:adjustRightInd w:val="0"/>
        <w:snapToGrid w:val="0"/>
        <w:spacing w:before="156" w:beforeLines="50" w:after="156" w:afterLines="50" w:line="240" w:lineRule="auto"/>
        <w:ind w:left="420" w:leftChars="0" w:hanging="420" w:firstLineChars="0"/>
        <w:rPr>
          <w:rFonts w:hint="eastAsia" w:ascii="Times New Roman" w:hAnsi="Times New Roman" w:eastAsia="宋体"/>
          <w:u w:val="single"/>
          <w:lang w:val="en-US" w:eastAsia="zh-CN"/>
        </w:rPr>
      </w:pPr>
      <w:r>
        <w:rPr>
          <w:rFonts w:hint="eastAsia" w:ascii="Times New Roman" w:hAnsi="Times New Roman" w:eastAsia="宋体"/>
          <w:u w:val="single"/>
          <w:lang w:val="en-US" w:eastAsia="zh-CN"/>
        </w:rPr>
        <w:t>Approach 2: LMF activates/deactivates the functionality, and LMF allows UE to activate/deactivate the AI model of the functionality</w:t>
      </w:r>
    </w:p>
    <w:p>
      <w:pPr>
        <w:numPr>
          <w:ilvl w:val="0"/>
          <w:numId w:val="11"/>
        </w:numPr>
        <w:adjustRightInd w:val="0"/>
        <w:snapToGrid w:val="0"/>
        <w:spacing w:before="156" w:beforeLines="50" w:after="156" w:afterLines="50" w:line="240" w:lineRule="auto"/>
        <w:ind w:left="84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Approach 2 means whether UE activates/deactivates use case 1, use case 2a or use case 2b is determined and indicated by LMF. For use case 1 and use case 2a where the AI model is at UE side, LMF can allow UE to activate/deactivate the AI model of the indicated use case according to UE</w:t>
      </w:r>
      <w:r>
        <w:rPr>
          <w:rFonts w:hint="default" w:ascii="Times New Roman" w:hAnsi="Times New Roman" w:eastAsia="宋体"/>
          <w:lang w:val="en-US" w:eastAsia="zh-CN"/>
        </w:rPr>
        <w:t>’</w:t>
      </w:r>
      <w:r>
        <w:rPr>
          <w:rFonts w:hint="eastAsia" w:ascii="Times New Roman" w:hAnsi="Times New Roman" w:eastAsia="宋体"/>
          <w:lang w:val="en-US" w:eastAsia="zh-CN"/>
        </w:rPr>
        <w:t>s own additional condition and already provided NW side additional conditions. That is to say, LMF needs to get UE</w:t>
      </w:r>
      <w:r>
        <w:rPr>
          <w:rFonts w:hint="default" w:ascii="Times New Roman" w:hAnsi="Times New Roman" w:eastAsia="宋体"/>
          <w:lang w:val="en-US" w:eastAsia="zh-CN"/>
        </w:rPr>
        <w:t>’</w:t>
      </w:r>
      <w:r>
        <w:rPr>
          <w:rFonts w:hint="eastAsia" w:ascii="Times New Roman" w:hAnsi="Times New Roman" w:eastAsia="宋体"/>
          <w:lang w:val="en-US" w:eastAsia="zh-CN"/>
        </w:rPr>
        <w:t>s applicable functionality to know which functionalities is available/unavailable to UE.</w:t>
      </w:r>
    </w:p>
    <w:p>
      <w:pPr>
        <w:numPr>
          <w:ilvl w:val="0"/>
          <w:numId w:val="10"/>
        </w:numPr>
        <w:adjustRightInd w:val="0"/>
        <w:snapToGrid w:val="0"/>
        <w:spacing w:before="156" w:beforeLines="50" w:after="156" w:afterLines="50" w:line="240" w:lineRule="auto"/>
        <w:ind w:left="420" w:leftChars="0" w:hanging="420" w:firstLineChars="0"/>
        <w:rPr>
          <w:rFonts w:hint="default" w:ascii="Times New Roman" w:hAnsi="Times New Roman" w:eastAsia="宋体"/>
          <w:u w:val="single"/>
          <w:lang w:val="en-US" w:eastAsia="zh-CN"/>
        </w:rPr>
      </w:pPr>
      <w:r>
        <w:rPr>
          <w:rFonts w:hint="eastAsia" w:ascii="Times New Roman" w:hAnsi="Times New Roman" w:eastAsia="宋体"/>
          <w:u w:val="single"/>
          <w:lang w:val="en-US" w:eastAsia="zh-CN"/>
        </w:rPr>
        <w:t>Approach 3: LMF allows UE to activate/deactivate the functionality, and LMF allows UE to activate/deactivate the AI model of the functionality, and UE reports the activated/deactivated functionality to LMF</w:t>
      </w:r>
    </w:p>
    <w:p>
      <w:pPr>
        <w:numPr>
          <w:ilvl w:val="0"/>
          <w:numId w:val="12"/>
        </w:numPr>
        <w:adjustRightInd w:val="0"/>
        <w:snapToGrid w:val="0"/>
        <w:spacing w:before="156" w:beforeLines="50" w:after="156" w:afterLines="50" w:line="240" w:lineRule="auto"/>
        <w:ind w:left="840" w:leftChars="0" w:hanging="420" w:firstLineChars="0"/>
        <w:rPr>
          <w:rFonts w:hint="eastAsia" w:ascii="Times New Roman" w:hAnsi="Times New Roman" w:eastAsia="宋体"/>
          <w:lang w:val="en-US" w:eastAsia="zh-CN"/>
        </w:rPr>
      </w:pPr>
      <w:r>
        <w:rPr>
          <w:rFonts w:hint="eastAsia" w:ascii="Times New Roman" w:hAnsi="Times New Roman" w:eastAsia="宋体"/>
          <w:lang w:val="en-US" w:eastAsia="zh-CN"/>
        </w:rPr>
        <w:t>Approach 3 means LMF can allow UE to activate/deactivate use case1 use case 2a or use case 2b according to UE</w:t>
      </w:r>
      <w:r>
        <w:rPr>
          <w:rFonts w:hint="default" w:ascii="Times New Roman" w:hAnsi="Times New Roman" w:eastAsia="宋体"/>
          <w:lang w:val="en-US" w:eastAsia="zh-CN"/>
        </w:rPr>
        <w:t>’</w:t>
      </w:r>
      <w:r>
        <w:rPr>
          <w:rFonts w:hint="eastAsia" w:ascii="Times New Roman" w:hAnsi="Times New Roman" w:eastAsia="宋体"/>
          <w:lang w:val="en-US" w:eastAsia="zh-CN"/>
        </w:rPr>
        <w:t>s applicable functionalities. That is to say, LMF can allow UE to report AI UE location (using use case 1), to report AI intermediate feature (using use case 2a) or to report PRS channel measurement (using use case 2b). Then UE should let LMF know which functionalities is activated/deactivated. Further, LMF can allow UE to activate/deactivate the AI model of the indicated use case according to UE</w:t>
      </w:r>
      <w:r>
        <w:rPr>
          <w:rFonts w:hint="default" w:ascii="Times New Roman" w:hAnsi="Times New Roman" w:eastAsia="宋体"/>
          <w:lang w:val="en-US" w:eastAsia="zh-CN"/>
        </w:rPr>
        <w:t>’</w:t>
      </w:r>
      <w:r>
        <w:rPr>
          <w:rFonts w:hint="eastAsia" w:ascii="Times New Roman" w:hAnsi="Times New Roman" w:eastAsia="宋体"/>
          <w:lang w:val="en-US" w:eastAsia="zh-CN"/>
        </w:rPr>
        <w:t>s own additional condition and already provided NW side additional conditions.</w:t>
      </w:r>
    </w:p>
    <w:p>
      <w:pPr>
        <w:numPr>
          <w:ilvl w:val="0"/>
          <w:numId w:val="12"/>
        </w:numPr>
        <w:adjustRightInd w:val="0"/>
        <w:snapToGrid w:val="0"/>
        <w:spacing w:before="156" w:beforeLines="50" w:after="156" w:afterLines="50" w:line="240" w:lineRule="auto"/>
        <w:ind w:left="840" w:leftChars="0" w:hanging="420" w:firstLineChars="0"/>
        <w:rPr>
          <w:rFonts w:hint="eastAsia" w:ascii="Times New Roman" w:hAnsi="Times New Roman" w:eastAsia="宋体"/>
          <w:lang w:val="en-US" w:eastAsia="zh-CN"/>
        </w:rPr>
      </w:pPr>
      <w:r>
        <w:rPr>
          <w:rFonts w:hint="eastAsia" w:ascii="Times New Roman" w:hAnsi="Times New Roman" w:eastAsia="宋体"/>
          <w:lang w:val="en-US" w:eastAsia="zh-CN"/>
        </w:rPr>
        <w:t>Letting LMF know UE</w:t>
      </w:r>
      <w:r>
        <w:rPr>
          <w:rFonts w:hint="default" w:ascii="Times New Roman" w:hAnsi="Times New Roman" w:eastAsia="宋体"/>
          <w:lang w:val="en-US" w:eastAsia="zh-CN"/>
        </w:rPr>
        <w:t>’</w:t>
      </w:r>
      <w:r>
        <w:rPr>
          <w:rFonts w:hint="eastAsia" w:ascii="Times New Roman" w:hAnsi="Times New Roman" w:eastAsia="宋体"/>
          <w:lang w:val="en-US" w:eastAsia="zh-CN"/>
        </w:rPr>
        <w:t>s decision of functionality may not need new explicit signaling since in AI/ML positioning, different functionalities has different kinds of reporting content. LMF can differentiate different kinds of functionality according to different kinds of reporting content that UE reports.</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As we analysed above, NW side additional condition is already provided to UE. It is not necessary and not efficient to let UE report UE additional condition to LMF, then LMF decides the AI model and feedback to UE, i.e., approach 1 is not preferred in AI/ML positioning. Also as mentioned above, the relationship between additional condition and AI model is hard to specify, so LMF is hard to know such information. Since UE knows the UE side additional condition and NW side additional condition, it is more efficient to let UE decide the AI model under each functionality, i.e., go with approach 2 or approach 3.</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Observation 3: Since NW side additional condition is already provided to UE, it is not necessary and not efficient to let UE report UE additional condition to LMF, then LMF decides the AI model and feedback to UE.</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4: For AI/ML positioning use case 1, 2a and 2b, RAN2 to consider the following approaches for functionality-LCM:</w:t>
      </w:r>
    </w:p>
    <w:p>
      <w:pPr>
        <w:numPr>
          <w:ilvl w:val="0"/>
          <w:numId w:val="10"/>
        </w:numPr>
        <w:adjustRightInd w:val="0"/>
        <w:snapToGrid w:val="0"/>
        <w:spacing w:before="156" w:beforeLines="50" w:after="156" w:afterLines="50" w:line="240" w:lineRule="auto"/>
        <w:ind w:left="420" w:leftChars="0" w:hanging="420" w:firstLine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LMF activates/deactivates the functionality</w:t>
      </w:r>
    </w:p>
    <w:p>
      <w:pPr>
        <w:numPr>
          <w:ilvl w:val="0"/>
          <w:numId w:val="10"/>
        </w:numPr>
        <w:adjustRightInd w:val="0"/>
        <w:snapToGrid w:val="0"/>
        <w:spacing w:before="156" w:beforeLines="50" w:after="156" w:afterLines="50" w:line="240" w:lineRule="auto"/>
        <w:ind w:left="420" w:leftChars="0" w:hanging="420" w:firstLine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 xml:space="preserve">LMF allows UE to activate/deactivate the functionality </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Proposal 5: For AI/ML positioning use case 1 and 2a, RAN2 to consider that LMF allows UE to activate/deactivate the AI model of the functionality for model-LCM.</w:t>
      </w:r>
    </w:p>
    <w:p>
      <w:pPr>
        <w:pStyle w:val="3"/>
        <w:bidi w:val="0"/>
        <w:rPr>
          <w:rFonts w:hint="default"/>
          <w:lang w:val="en-US" w:eastAsia="zh-CN"/>
        </w:rPr>
      </w:pPr>
      <w:r>
        <w:rPr>
          <w:rFonts w:hint="eastAsia"/>
          <w:lang w:val="en-US" w:eastAsia="zh-CN"/>
        </w:rPr>
        <w:t>Functionality management as positioning method</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In legacy LPP specification, LMF can schedule different positioning methods to UE, wherein each positioning method has different kinds of reporting content. Different positioning method can be scheduled in parallel or in series, but they are scheduled independently from each other. Also each legacy positioning method has the type of UE-assisted positioning or UE-based positioning, where UE-assisted positioning means UE can report measurement and LMF is to calculate the UE location, UE-based positioning means UE can make the measurement and calculate the location by the UE itself. The table from TS38.305-i10[3] describes the mapping of the type and the positioning method: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0"/>
              <w:keepNext/>
              <w:keepLines/>
              <w:pageBreakBefore w:val="0"/>
              <w:widowControl/>
              <w:kinsoku/>
              <w:wordWrap/>
              <w:topLinePunct w:val="0"/>
              <w:bidi w:val="0"/>
              <w:adjustRightInd w:val="0"/>
              <w:snapToGrid w:val="0"/>
              <w:spacing w:before="157" w:beforeLines="50" w:after="157" w:afterLines="50" w:line="240" w:lineRule="auto"/>
              <w:rPr>
                <w:color w:val="auto"/>
              </w:rPr>
            </w:pPr>
            <w:r>
              <w:rPr>
                <w:color w:val="auto"/>
              </w:rPr>
              <w:t>Table 4.3.1-1: Supported versions of UE positioning methods</w:t>
            </w:r>
          </w:p>
          <w:tbl>
            <w:tblPr>
              <w:tblStyle w:val="58"/>
              <w:tblW w:w="9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1206"/>
              <w:gridCol w:w="1440"/>
              <w:gridCol w:w="1620"/>
              <w:gridCol w:w="3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200"/>
                    <w:keepNext/>
                    <w:keepLines/>
                    <w:pageBreakBefore w:val="0"/>
                    <w:widowControl/>
                    <w:kinsoku/>
                    <w:wordWrap/>
                    <w:topLinePunct w:val="0"/>
                    <w:bidi w:val="0"/>
                    <w:adjustRightInd w:val="0"/>
                    <w:snapToGrid w:val="0"/>
                    <w:spacing w:before="157" w:beforeLines="50" w:after="157" w:afterLines="50" w:line="240" w:lineRule="auto"/>
                  </w:pPr>
                  <w:r>
                    <w:t>Method</w:t>
                  </w:r>
                </w:p>
              </w:tc>
              <w:tc>
                <w:tcPr>
                  <w:tcW w:w="1206" w:type="dxa"/>
                </w:tcPr>
                <w:p>
                  <w:pPr>
                    <w:pStyle w:val="200"/>
                    <w:keepNext/>
                    <w:keepLines/>
                    <w:pageBreakBefore w:val="0"/>
                    <w:widowControl/>
                    <w:kinsoku/>
                    <w:wordWrap/>
                    <w:topLinePunct w:val="0"/>
                    <w:bidi w:val="0"/>
                    <w:adjustRightInd w:val="0"/>
                    <w:snapToGrid w:val="0"/>
                    <w:spacing w:before="157" w:beforeLines="50" w:after="157" w:afterLines="50" w:line="240" w:lineRule="auto"/>
                  </w:pPr>
                  <w:r>
                    <w:rPr>
                      <w:highlight w:val="yellow"/>
                    </w:rPr>
                    <w:t>UE-based</w:t>
                  </w:r>
                </w:p>
              </w:tc>
              <w:tc>
                <w:tcPr>
                  <w:tcW w:w="1440" w:type="dxa"/>
                </w:tcPr>
                <w:p>
                  <w:pPr>
                    <w:pStyle w:val="200"/>
                    <w:keepNext/>
                    <w:keepLines/>
                    <w:pageBreakBefore w:val="0"/>
                    <w:widowControl/>
                    <w:kinsoku/>
                    <w:wordWrap/>
                    <w:topLinePunct w:val="0"/>
                    <w:bidi w:val="0"/>
                    <w:adjustRightInd w:val="0"/>
                    <w:snapToGrid w:val="0"/>
                    <w:spacing w:before="157" w:beforeLines="50" w:after="157" w:afterLines="50" w:line="240" w:lineRule="auto"/>
                  </w:pPr>
                  <w:r>
                    <w:rPr>
                      <w:highlight w:val="yellow"/>
                    </w:rPr>
                    <w:t>UE-assisted, LMF-based</w:t>
                  </w:r>
                </w:p>
              </w:tc>
              <w:tc>
                <w:tcPr>
                  <w:tcW w:w="1620" w:type="dxa"/>
                </w:tcPr>
                <w:p>
                  <w:pPr>
                    <w:pStyle w:val="200"/>
                    <w:keepNext/>
                    <w:keepLines/>
                    <w:pageBreakBefore w:val="0"/>
                    <w:widowControl/>
                    <w:kinsoku/>
                    <w:wordWrap/>
                    <w:topLinePunct w:val="0"/>
                    <w:bidi w:val="0"/>
                    <w:adjustRightInd w:val="0"/>
                    <w:snapToGrid w:val="0"/>
                    <w:spacing w:before="157" w:beforeLines="50" w:after="157" w:afterLines="50" w:line="240" w:lineRule="auto"/>
                  </w:pPr>
                  <w:r>
                    <w:t>NG-RAN node assisted</w:t>
                  </w:r>
                </w:p>
              </w:tc>
              <w:tc>
                <w:tcPr>
                  <w:tcW w:w="3206" w:type="dxa"/>
                </w:tcPr>
                <w:p>
                  <w:pPr>
                    <w:pStyle w:val="200"/>
                    <w:keepNext/>
                    <w:keepLines/>
                    <w:pageBreakBefore w:val="0"/>
                    <w:widowControl/>
                    <w:kinsoku/>
                    <w:wordWrap/>
                    <w:topLinePunct w:val="0"/>
                    <w:bidi w:val="0"/>
                    <w:adjustRightInd w:val="0"/>
                    <w:snapToGrid w:val="0"/>
                    <w:spacing w:before="157" w:beforeLines="50" w:after="157" w:afterLines="50" w:line="240" w:lineRule="auto"/>
                  </w:pPr>
                  <w:r>
                    <w:t>SUPL</w:t>
                  </w:r>
                  <w:r>
                    <w:rPr>
                      <w:vertAlign w:val="superscript"/>
                    </w:rPr>
                    <w:t xml:space="preserv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A-GNSS</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 xml:space="preserve">OTDOA </w:t>
                  </w:r>
                  <w:r>
                    <w:rPr>
                      <w:vertAlign w:val="superscript"/>
                    </w:rPr>
                    <w:t>Note1, Note 2</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 xml:space="preserve">E-CID </w:t>
                  </w:r>
                  <w:r>
                    <w:rPr>
                      <w:vertAlign w:val="superscript"/>
                    </w:rPr>
                    <w:t xml:space="preserve">Note 4, Note 7 </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Yes for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Sensor</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WLAN</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 xml:space="preserv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Bluetooth</w:t>
                  </w:r>
                  <w:r>
                    <w:rPr>
                      <w:vertAlign w:val="superscript"/>
                    </w:rPr>
                    <w:t>Note 9</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 xml:space="preserve">TBS </w:t>
                  </w:r>
                  <w:r>
                    <w:rPr>
                      <w:vertAlign w:val="superscript"/>
                    </w:rPr>
                    <w:t>Note 5</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Yes (MBS)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DL-TDOA</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DL-AoD</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Multi-RTT</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 xml:space="preserve">NR E-CID </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Yes (DL NR E-CID)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UL-TDOA</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UL-AoA</w:t>
                  </w:r>
                </w:p>
              </w:tc>
              <w:tc>
                <w:tcPr>
                  <w:tcW w:w="1206"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144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No</w:t>
                  </w:r>
                </w:p>
              </w:tc>
              <w:tc>
                <w:tcPr>
                  <w:tcW w:w="1620" w:type="dxa"/>
                </w:tcPr>
                <w:p>
                  <w:pPr>
                    <w:pStyle w:val="106"/>
                    <w:keepNext/>
                    <w:keepLines/>
                    <w:pageBreakBefore w:val="0"/>
                    <w:widowControl/>
                    <w:kinsoku/>
                    <w:wordWrap/>
                    <w:topLinePunct w:val="0"/>
                    <w:bidi w:val="0"/>
                    <w:adjustRightInd w:val="0"/>
                    <w:snapToGrid w:val="0"/>
                    <w:spacing w:before="157" w:beforeLines="50" w:after="157" w:afterLines="50" w:line="240" w:lineRule="auto"/>
                    <w:jc w:val="center"/>
                  </w:pPr>
                  <w:r>
                    <w:t>Yes</w:t>
                  </w:r>
                </w:p>
              </w:tc>
              <w:tc>
                <w:tcPr>
                  <w:tcW w:w="3206" w:type="dxa"/>
                </w:tcPr>
                <w:p>
                  <w:pPr>
                    <w:pStyle w:val="106"/>
                    <w:keepNext/>
                    <w:keepLines/>
                    <w:pageBreakBefore w:val="0"/>
                    <w:widowControl/>
                    <w:kinsoku/>
                    <w:wordWrap/>
                    <w:topLinePunct w:val="0"/>
                    <w:bidi w:val="0"/>
                    <w:adjustRightInd w:val="0"/>
                    <w:snapToGrid w:val="0"/>
                    <w:spacing w:before="157" w:beforeLines="50" w:after="157" w:afterLines="50" w:line="240" w:lineRule="auto"/>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1" w:type="dxa"/>
                  <w:gridSpan w:val="5"/>
                </w:tcPr>
                <w:p>
                  <w:pPr>
                    <w:pStyle w:val="264"/>
                    <w:keepNext/>
                    <w:keepLines/>
                    <w:pageBreakBefore w:val="0"/>
                    <w:widowControl/>
                    <w:kinsoku/>
                    <w:wordWrap/>
                    <w:topLinePunct w:val="0"/>
                    <w:bidi w:val="0"/>
                    <w:adjustRightInd w:val="0"/>
                    <w:snapToGrid w:val="0"/>
                    <w:spacing w:before="157" w:beforeLines="50" w:after="157" w:afterLines="50" w:line="240" w:lineRule="auto"/>
                  </w:pPr>
                  <w:r>
                    <w:t>NOTE 1:</w:t>
                  </w:r>
                  <w:r>
                    <w:tab/>
                  </w:r>
                  <w:r>
                    <w:t>This includes TBS positioning based on PRS signals.</w:t>
                  </w:r>
                </w:p>
                <w:p>
                  <w:pPr>
                    <w:pStyle w:val="264"/>
                    <w:keepNext/>
                    <w:keepLines/>
                    <w:pageBreakBefore w:val="0"/>
                    <w:widowControl/>
                    <w:kinsoku/>
                    <w:wordWrap/>
                    <w:topLinePunct w:val="0"/>
                    <w:bidi w:val="0"/>
                    <w:adjustRightInd w:val="0"/>
                    <w:snapToGrid w:val="0"/>
                    <w:spacing w:before="157" w:beforeLines="50" w:after="157" w:afterLines="50" w:line="240" w:lineRule="auto"/>
                  </w:pPr>
                  <w:r>
                    <w:t>NOTE 2:</w:t>
                  </w:r>
                  <w:r>
                    <w:tab/>
                  </w:r>
                  <w:r>
                    <w:t>In this version of the specification only OTDOA based on LTE signals is supported.</w:t>
                  </w:r>
                </w:p>
                <w:p>
                  <w:pPr>
                    <w:pStyle w:val="264"/>
                    <w:keepNext/>
                    <w:keepLines/>
                    <w:pageBreakBefore w:val="0"/>
                    <w:widowControl/>
                    <w:kinsoku/>
                    <w:wordWrap/>
                    <w:topLinePunct w:val="0"/>
                    <w:bidi w:val="0"/>
                    <w:adjustRightInd w:val="0"/>
                    <w:snapToGrid w:val="0"/>
                    <w:spacing w:before="157" w:beforeLines="50" w:after="157" w:afterLines="50" w:line="240" w:lineRule="auto"/>
                  </w:pPr>
                  <w:r>
                    <w:t>NOTE 3:</w:t>
                  </w:r>
                  <w:r>
                    <w:tab/>
                  </w:r>
                  <w:r>
                    <w:t>Void</w:t>
                  </w:r>
                </w:p>
                <w:p>
                  <w:pPr>
                    <w:pStyle w:val="264"/>
                    <w:keepNext/>
                    <w:keepLines/>
                    <w:pageBreakBefore w:val="0"/>
                    <w:widowControl/>
                    <w:kinsoku/>
                    <w:wordWrap/>
                    <w:topLinePunct w:val="0"/>
                    <w:bidi w:val="0"/>
                    <w:adjustRightInd w:val="0"/>
                    <w:snapToGrid w:val="0"/>
                    <w:spacing w:before="157" w:beforeLines="50" w:after="157" w:afterLines="50" w:line="240" w:lineRule="auto"/>
                  </w:pPr>
                  <w:r>
                    <w:t>NOTE 4:</w:t>
                  </w:r>
                  <w:r>
                    <w:tab/>
                  </w:r>
                  <w:r>
                    <w:t>This includes Cell-ID for NR method when UE is served by gNB.</w:t>
                  </w:r>
                </w:p>
                <w:p>
                  <w:pPr>
                    <w:pStyle w:val="264"/>
                    <w:keepNext/>
                    <w:keepLines/>
                    <w:pageBreakBefore w:val="0"/>
                    <w:widowControl/>
                    <w:kinsoku/>
                    <w:wordWrap/>
                    <w:topLinePunct w:val="0"/>
                    <w:bidi w:val="0"/>
                    <w:adjustRightInd w:val="0"/>
                    <w:snapToGrid w:val="0"/>
                    <w:spacing w:before="157" w:beforeLines="50" w:after="157" w:afterLines="50" w:line="240" w:lineRule="auto"/>
                  </w:pPr>
                  <w:r>
                    <w:t>NOTE 5:</w:t>
                  </w:r>
                  <w:r>
                    <w:tab/>
                  </w:r>
                  <w:r>
                    <w:t>In this version of the specification only for TBS positioning based on MBS signals.</w:t>
                  </w:r>
                </w:p>
                <w:p>
                  <w:pPr>
                    <w:pStyle w:val="264"/>
                    <w:keepNext/>
                    <w:keepLines/>
                    <w:pageBreakBefore w:val="0"/>
                    <w:widowControl/>
                    <w:kinsoku/>
                    <w:wordWrap/>
                    <w:topLinePunct w:val="0"/>
                    <w:bidi w:val="0"/>
                    <w:adjustRightInd w:val="0"/>
                    <w:snapToGrid w:val="0"/>
                    <w:spacing w:before="157" w:beforeLines="50" w:after="157" w:afterLines="50" w:line="240" w:lineRule="auto"/>
                  </w:pPr>
                  <w:r>
                    <w:t>NOTE 6:</w:t>
                  </w:r>
                  <w:r>
                    <w:tab/>
                  </w:r>
                  <w:r>
                    <w:t>Void</w:t>
                  </w:r>
                </w:p>
                <w:p>
                  <w:pPr>
                    <w:pStyle w:val="264"/>
                    <w:keepNext/>
                    <w:keepLines/>
                    <w:pageBreakBefore w:val="0"/>
                    <w:widowControl/>
                    <w:kinsoku/>
                    <w:wordWrap/>
                    <w:topLinePunct w:val="0"/>
                    <w:bidi w:val="0"/>
                    <w:adjustRightInd w:val="0"/>
                    <w:snapToGrid w:val="0"/>
                    <w:spacing w:before="157" w:beforeLines="50" w:after="157" w:afterLines="50" w:line="240" w:lineRule="auto"/>
                  </w:pPr>
                  <w:r>
                    <w:t>NOTE 7:</w:t>
                  </w:r>
                  <w:r>
                    <w:tab/>
                  </w:r>
                  <w:r>
                    <w:t>Enhanced Cell ID based on LTE signals.</w:t>
                  </w:r>
                </w:p>
                <w:p>
                  <w:pPr>
                    <w:pStyle w:val="264"/>
                    <w:keepNext/>
                    <w:keepLines/>
                    <w:pageBreakBefore w:val="0"/>
                    <w:widowControl/>
                    <w:kinsoku/>
                    <w:wordWrap/>
                    <w:topLinePunct w:val="0"/>
                    <w:bidi w:val="0"/>
                    <w:adjustRightInd w:val="0"/>
                    <w:snapToGrid w:val="0"/>
                    <w:spacing w:before="157" w:beforeLines="50" w:after="157" w:afterLines="50" w:line="240" w:lineRule="auto"/>
                  </w:pPr>
                  <w:r>
                    <w:t>NOTE 8:</w:t>
                  </w:r>
                  <w:r>
                    <w:tab/>
                  </w:r>
                  <w:r>
                    <w:t>This shows whether the positioning method is supported by SUPL ULP [16].</w:t>
                  </w:r>
                </w:p>
                <w:p>
                  <w:pPr>
                    <w:pStyle w:val="264"/>
                    <w:keepNext/>
                    <w:keepLines/>
                    <w:pageBreakBefore w:val="0"/>
                    <w:widowControl/>
                    <w:kinsoku/>
                    <w:wordWrap/>
                    <w:topLinePunct w:val="0"/>
                    <w:bidi w:val="0"/>
                    <w:adjustRightInd w:val="0"/>
                    <w:snapToGrid w:val="0"/>
                    <w:spacing w:before="157" w:beforeLines="50" w:after="157" w:afterLines="50" w:line="240" w:lineRule="auto"/>
                  </w:pPr>
                  <w:r>
                    <w:t>NOTE 9:</w:t>
                  </w:r>
                  <w:r>
                    <w:tab/>
                  </w:r>
                  <w:r>
                    <w:t>UE-based positioning mode is supported only for Bluetooth AoD positioning method.</w:t>
                  </w:r>
                </w:p>
              </w:tc>
            </w:tr>
          </w:tbl>
          <w:p>
            <w:pPr>
              <w:numPr>
                <w:ilvl w:val="0"/>
                <w:numId w:val="0"/>
              </w:numPr>
              <w:adjustRightInd w:val="0"/>
              <w:snapToGrid w:val="0"/>
              <w:spacing w:before="156" w:beforeLines="50" w:after="156" w:afterLines="50" w:line="240" w:lineRule="auto"/>
              <w:rPr>
                <w:rFonts w:hint="default" w:ascii="Times New Roman" w:hAnsi="Times New Roman" w:eastAsia="宋体"/>
                <w:vertAlign w:val="baseline"/>
                <w:lang w:val="en-US" w:eastAsia="zh-CN"/>
              </w:rPr>
            </w:pPr>
          </w:p>
        </w:tc>
      </w:tr>
    </w:tbl>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In AI/ML positioning, it is similar that different functionality (i.e., different use case) has different kinds of reporting content, i.e., the reporting content of use case 1 is AI UE location, the reporting content of use case 2a is AI intermediate feature, the reporting content of use case 2b is PRS channel measurement. So from signaling structure perspective, AI/ML positioning functionality can be managed as positioning method, i.e., activating a positioning method means activating the corresponding AI/ML positioning functionalities.</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6: From RAN2 signaling structure perspective, AI/ML positioning functionality (use case) can be managed as positioning method, i.e., activating a positioning method means activating the corresponding AI/ML positioning functionalities (use cases).</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There can be following options to map the functionality to the positioning method:</w:t>
      </w:r>
    </w:p>
    <w:p>
      <w:pPr>
        <w:numPr>
          <w:ilvl w:val="0"/>
          <w:numId w:val="13"/>
        </w:numPr>
        <w:adjustRightInd w:val="0"/>
        <w:snapToGrid w:val="0"/>
        <w:spacing w:before="156" w:beforeLines="50" w:after="156" w:afterLines="50" w:line="240" w:lineRule="auto"/>
        <w:ind w:left="420" w:leftChars="0" w:hanging="420" w:firstLineChars="0"/>
        <w:rPr>
          <w:rFonts w:hint="eastAsia" w:ascii="Times New Roman" w:hAnsi="Times New Roman" w:eastAsia="宋体"/>
          <w:lang w:val="en-US" w:eastAsia="zh-CN"/>
        </w:rPr>
      </w:pPr>
      <w:r>
        <w:rPr>
          <w:rFonts w:hint="eastAsia" w:ascii="Times New Roman" w:hAnsi="Times New Roman" w:eastAsia="宋体"/>
          <w:lang w:val="en-US" w:eastAsia="zh-CN"/>
        </w:rPr>
        <w:t>Option 1: Introduce a new AI/ML positioning method for use case 1, 2a and 2b;</w:t>
      </w:r>
    </w:p>
    <w:p>
      <w:pPr>
        <w:numPr>
          <w:ilvl w:val="1"/>
          <w:numId w:val="13"/>
        </w:numPr>
        <w:adjustRightInd w:val="0"/>
        <w:snapToGrid w:val="0"/>
        <w:spacing w:before="156" w:beforeLines="50" w:after="156" w:afterLines="50" w:line="240" w:lineRule="auto"/>
        <w:ind w:left="84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This is most straightforward way of mapping. To be specific, UE-based positioning can be UE reporting AI UE location (use case1), UE-assisted positioning can be UE reporting AI intermediate feature (use case 2a) or PRS channel measurement (use case 2b), depending on LMF</w:t>
      </w:r>
      <w:r>
        <w:rPr>
          <w:rFonts w:hint="default" w:ascii="Times New Roman" w:hAnsi="Times New Roman" w:eastAsia="宋体"/>
          <w:lang w:val="en-US" w:eastAsia="zh-CN"/>
        </w:rPr>
        <w:t>’</w:t>
      </w:r>
      <w:r>
        <w:rPr>
          <w:rFonts w:hint="eastAsia" w:ascii="Times New Roman" w:hAnsi="Times New Roman" w:eastAsia="宋体"/>
          <w:lang w:val="en-US" w:eastAsia="zh-CN"/>
        </w:rPr>
        <w:t>s scheduling or UE</w:t>
      </w:r>
      <w:r>
        <w:rPr>
          <w:rFonts w:hint="default" w:ascii="Times New Roman" w:hAnsi="Times New Roman" w:eastAsia="宋体"/>
          <w:lang w:val="en-US" w:eastAsia="zh-CN"/>
        </w:rPr>
        <w:t>’</w:t>
      </w:r>
      <w:r>
        <w:rPr>
          <w:rFonts w:hint="eastAsia" w:ascii="Times New Roman" w:hAnsi="Times New Roman" w:eastAsia="宋体"/>
          <w:lang w:val="en-US" w:eastAsia="zh-CN"/>
        </w:rPr>
        <w:t>s decision.</w:t>
      </w:r>
    </w:p>
    <w:p>
      <w:pPr>
        <w:numPr>
          <w:ilvl w:val="0"/>
          <w:numId w:val="13"/>
        </w:numPr>
        <w:adjustRightInd w:val="0"/>
        <w:snapToGrid w:val="0"/>
        <w:spacing w:before="156" w:beforeLines="50" w:after="156" w:afterLines="50" w:line="240" w:lineRule="auto"/>
        <w:ind w:left="420" w:leftChars="0" w:hanging="420" w:firstLineChars="0"/>
        <w:rPr>
          <w:rFonts w:hint="eastAsia" w:ascii="Times New Roman" w:hAnsi="Times New Roman" w:eastAsia="宋体"/>
          <w:lang w:val="en-US" w:eastAsia="zh-CN"/>
        </w:rPr>
      </w:pPr>
      <w:r>
        <w:rPr>
          <w:rFonts w:hint="eastAsia" w:ascii="Times New Roman" w:hAnsi="Times New Roman" w:eastAsia="宋体"/>
          <w:lang w:val="en-US" w:eastAsia="zh-CN"/>
        </w:rPr>
        <w:t>Option 2: Introduce a new AI/ML positioning method for use case 1 and 2a;</w:t>
      </w:r>
    </w:p>
    <w:p>
      <w:pPr>
        <w:numPr>
          <w:ilvl w:val="0"/>
          <w:numId w:val="14"/>
        </w:numPr>
        <w:adjustRightInd w:val="0"/>
        <w:snapToGrid w:val="0"/>
        <w:spacing w:before="156" w:beforeLines="50" w:after="156" w:afterLines="50" w:line="240" w:lineRule="auto"/>
        <w:ind w:left="84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 xml:space="preserve">This is to differ UE-side model and LMF-side model. use case 1 and 2a are UE-side model, so it is reasonable to introduce a new positioning method dedicated for the UE who has the AI model capability. To be specific, UE-based positioning can be UE reporting AI UE location (use case 1), UE-assisted positioning can be UE reporting AI intermediate feature (use case 2a). </w:t>
      </w:r>
    </w:p>
    <w:p>
      <w:pPr>
        <w:numPr>
          <w:ilvl w:val="0"/>
          <w:numId w:val="13"/>
        </w:numPr>
        <w:adjustRightInd w:val="0"/>
        <w:snapToGrid w:val="0"/>
        <w:spacing w:before="156" w:beforeLines="50" w:after="156" w:afterLines="50" w:line="240" w:lineRule="auto"/>
        <w:ind w:left="420" w:leftChars="0" w:hanging="420" w:firstLineChars="0"/>
        <w:rPr>
          <w:rFonts w:hint="eastAsia" w:ascii="Times New Roman" w:hAnsi="Times New Roman" w:eastAsia="宋体"/>
          <w:lang w:val="en-US" w:eastAsia="zh-CN"/>
        </w:rPr>
      </w:pPr>
      <w:r>
        <w:rPr>
          <w:rFonts w:hint="eastAsia" w:ascii="Times New Roman" w:hAnsi="Times New Roman" w:eastAsia="宋体"/>
          <w:lang w:val="en-US" w:eastAsia="zh-CN"/>
        </w:rPr>
        <w:t>Option 3: Introduce a new AI/ML positioning method for use case 1 and 2b;</w:t>
      </w:r>
    </w:p>
    <w:p>
      <w:pPr>
        <w:numPr>
          <w:ilvl w:val="0"/>
          <w:numId w:val="15"/>
        </w:numPr>
        <w:adjustRightInd w:val="0"/>
        <w:snapToGrid w:val="0"/>
        <w:spacing w:before="156" w:beforeLines="50" w:after="156" w:afterLines="50" w:line="240" w:lineRule="auto"/>
        <w:ind w:left="84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To be specific, UE-based positioning can be UE reporting AI UE location (use case 1), UE-assisted positioning can be UE reporting PRS channel measurement (use case 2b), depending on LMF</w:t>
      </w:r>
      <w:r>
        <w:rPr>
          <w:rFonts w:hint="default" w:ascii="Times New Roman" w:hAnsi="Times New Roman" w:eastAsia="宋体"/>
          <w:lang w:val="en-US" w:eastAsia="zh-CN"/>
        </w:rPr>
        <w:t>’</w:t>
      </w:r>
      <w:r>
        <w:rPr>
          <w:rFonts w:hint="eastAsia" w:ascii="Times New Roman" w:hAnsi="Times New Roman" w:eastAsia="宋体"/>
          <w:lang w:val="en-US" w:eastAsia="zh-CN"/>
        </w:rPr>
        <w:t>s scheduling or UE</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s decision. That means UE can use model or not use model in this new positioning method. </w:t>
      </w:r>
    </w:p>
    <w:p>
      <w:pPr>
        <w:numPr>
          <w:ilvl w:val="0"/>
          <w:numId w:val="15"/>
        </w:numPr>
        <w:adjustRightInd w:val="0"/>
        <w:snapToGrid w:val="0"/>
        <w:spacing w:before="156" w:beforeLines="50" w:after="156" w:afterLines="50" w:line="240" w:lineRule="auto"/>
        <w:ind w:left="84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Under this approach, AI intermediate feature can be reported together with other existing positioning methods (like DL-TDOA, DL-AoD or multi-RTT) since if a UE supports AI intermediate feature such as AI RSTD, the UE may also support the corresponding legacy measurement such as RSTD since the calculation is the same. So it will be no problem for UE to report legacy measurement and corresponding AI intermediate feature together.</w:t>
      </w:r>
    </w:p>
    <w:p>
      <w:pPr>
        <w:numPr>
          <w:ilvl w:val="0"/>
          <w:numId w:val="13"/>
        </w:numPr>
        <w:adjustRightInd w:val="0"/>
        <w:snapToGrid w:val="0"/>
        <w:spacing w:before="156" w:beforeLines="50" w:after="156" w:afterLines="50" w:line="240" w:lineRule="auto"/>
        <w:ind w:left="420" w:leftChars="0" w:hanging="420" w:firstLineChars="0"/>
        <w:rPr>
          <w:rFonts w:hint="eastAsia" w:ascii="Times New Roman" w:hAnsi="Times New Roman" w:eastAsia="宋体"/>
          <w:lang w:val="en-US" w:eastAsia="zh-CN"/>
        </w:rPr>
      </w:pPr>
      <w:r>
        <w:rPr>
          <w:rFonts w:hint="eastAsia" w:ascii="Times New Roman" w:hAnsi="Times New Roman" w:eastAsia="宋体"/>
          <w:lang w:val="en-US" w:eastAsia="zh-CN"/>
        </w:rPr>
        <w:t>Option 4: Introduce a new AI/ML positioning method for use case 2b;</w:t>
      </w:r>
    </w:p>
    <w:p>
      <w:pPr>
        <w:numPr>
          <w:ilvl w:val="0"/>
          <w:numId w:val="16"/>
        </w:numPr>
        <w:adjustRightInd w:val="0"/>
        <w:snapToGrid w:val="0"/>
        <w:spacing w:before="156" w:beforeLines="50" w:after="156" w:afterLines="50" w:line="240" w:lineRule="auto"/>
        <w:ind w:left="84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This is to differ UE-side model and LMF-side model. use case 2b is LMF-side model and requires UE to report PRS channel measurement. The reason why use case 2b deserves a new positioning method rather than letting UE report PRS channel measurement together with the measurement report of existing positioning methods(like DL-TDOA, DL-AoD or multi-RTT) is because the Rel-19 UE may only have the UE capability of measuring/reporting PRS channel measurement. Such UE does not have the capability to make and report legacy measurement such as RSTD or Rx Tx time difference measurement which is a mandatory reporting in existing positioning methods.</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Based on above analysis, the above four options are more reasonable than other kinds of mappings, so RAN2 can take these options as baseline for now, and make down-scope if needed in the future discussion.</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7: RAN2 to consider the following options to map the AI/ML positioning functionality to the positioning method:</w:t>
      </w:r>
    </w:p>
    <w:p>
      <w:pPr>
        <w:numPr>
          <w:ilvl w:val="0"/>
          <w:numId w:val="13"/>
        </w:numPr>
        <w:adjustRightInd w:val="0"/>
        <w:snapToGrid w:val="0"/>
        <w:spacing w:before="156" w:beforeLines="50" w:after="156" w:afterLines="50" w:line="240" w:lineRule="auto"/>
        <w:ind w:left="420" w:leftChars="0" w:hanging="420" w:firstLine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Option 1: Introduce a new AI/ML positioning method in LPP for use case 1, 2a and 2b;</w:t>
      </w:r>
    </w:p>
    <w:p>
      <w:pPr>
        <w:numPr>
          <w:ilvl w:val="0"/>
          <w:numId w:val="13"/>
        </w:numPr>
        <w:adjustRightInd w:val="0"/>
        <w:snapToGrid w:val="0"/>
        <w:spacing w:before="156" w:beforeLines="50" w:after="156" w:afterLines="50" w:line="240" w:lineRule="auto"/>
        <w:ind w:left="420" w:leftChars="0" w:hanging="420" w:firstLine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Option 2: Introduce a new AI/ML positioning method in LPP for use case 1 and 2a;</w:t>
      </w:r>
    </w:p>
    <w:p>
      <w:pPr>
        <w:numPr>
          <w:ilvl w:val="0"/>
          <w:numId w:val="13"/>
        </w:numPr>
        <w:adjustRightInd w:val="0"/>
        <w:snapToGrid w:val="0"/>
        <w:spacing w:before="156" w:beforeLines="50" w:after="156" w:afterLines="50" w:line="240" w:lineRule="auto"/>
        <w:ind w:left="420" w:leftChars="0" w:hanging="420" w:firstLine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Option 3: Introduce a new AI/ML positioning method in LPP for use case 1 and 2b;</w:t>
      </w:r>
    </w:p>
    <w:p>
      <w:pPr>
        <w:numPr>
          <w:ilvl w:val="0"/>
          <w:numId w:val="13"/>
        </w:numPr>
        <w:adjustRightInd w:val="0"/>
        <w:snapToGrid w:val="0"/>
        <w:spacing w:before="156" w:beforeLines="50" w:after="156" w:afterLines="50" w:line="240" w:lineRule="auto"/>
        <w:ind w:left="420" w:leftChars="0" w:hanging="420" w:firstLine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Option 4: Introduce a new AI/ML positioning method in LPP for use case 2b.</w:t>
      </w:r>
    </w:p>
    <w:p>
      <w:pPr>
        <w:pStyle w:val="3"/>
        <w:bidi w:val="0"/>
        <w:rPr>
          <w:rFonts w:hint="default"/>
          <w:lang w:val="en-US" w:eastAsia="zh-CN"/>
        </w:rPr>
      </w:pPr>
      <w:r>
        <w:rPr>
          <w:rFonts w:hint="eastAsia"/>
          <w:lang w:val="en-US" w:eastAsia="zh-CN"/>
        </w:rPr>
        <w:t>LCM of gNB involved use case (use case 3a and 3b)</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 xml:space="preserve">Similar like section 2.1, the gNB side functionality can also be recognized as use case 3a where gNB reports AI intermediate feature to LMF, and as use case 3b where gNB reports SRS channel measurement to LMF. </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For use case 3a, gNB</w:t>
      </w:r>
      <w:r>
        <w:rPr>
          <w:rFonts w:hint="default" w:ascii="Times New Roman" w:hAnsi="Times New Roman" w:eastAsia="宋体"/>
          <w:lang w:val="en-US" w:eastAsia="zh-CN"/>
        </w:rPr>
        <w:t>’</w:t>
      </w:r>
      <w:r>
        <w:rPr>
          <w:rFonts w:hint="eastAsia" w:ascii="Times New Roman" w:hAnsi="Times New Roman" w:eastAsia="宋体"/>
          <w:lang w:val="en-US" w:eastAsia="zh-CN"/>
        </w:rPr>
        <w:t>s model input is SRS</w:t>
      </w:r>
      <w:r>
        <w:rPr>
          <w:rFonts w:hint="default" w:ascii="Times New Roman" w:hAnsi="Times New Roman" w:eastAsia="宋体"/>
          <w:lang w:val="en-US" w:eastAsia="zh-CN"/>
        </w:rPr>
        <w:t>’</w:t>
      </w:r>
      <w:r>
        <w:rPr>
          <w:rFonts w:hint="eastAsia" w:ascii="Times New Roman" w:hAnsi="Times New Roman" w:eastAsia="宋体"/>
          <w:lang w:val="en-US" w:eastAsia="zh-CN"/>
        </w:rPr>
        <w:t>s channel measurement derived from the SRS that UE sends, the ground truth label is the AI intermediate features. Therefore UE additional condition such as UE location, UE velocity, etc., can also have impact on gNB</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s model performance. That is to say, different gNB-side AI models can correspond to different UE or gNB additional conditions; </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For use case 3b, LMF</w:t>
      </w:r>
      <w:r>
        <w:rPr>
          <w:rFonts w:hint="default" w:ascii="Times New Roman" w:hAnsi="Times New Roman" w:eastAsia="宋体"/>
          <w:lang w:val="en-US" w:eastAsia="zh-CN"/>
        </w:rPr>
        <w:t>’</w:t>
      </w:r>
      <w:r>
        <w:rPr>
          <w:rFonts w:hint="eastAsia" w:ascii="Times New Roman" w:hAnsi="Times New Roman" w:eastAsia="宋体"/>
          <w:lang w:val="en-US" w:eastAsia="zh-CN"/>
        </w:rPr>
        <w:t>s model input is SRS</w:t>
      </w:r>
      <w:r>
        <w:rPr>
          <w:rFonts w:hint="default" w:ascii="Times New Roman" w:hAnsi="Times New Roman" w:eastAsia="宋体"/>
          <w:lang w:val="en-US" w:eastAsia="zh-CN"/>
        </w:rPr>
        <w:t>’</w:t>
      </w:r>
      <w:r>
        <w:rPr>
          <w:rFonts w:hint="eastAsia" w:ascii="Times New Roman" w:hAnsi="Times New Roman" w:eastAsia="宋体"/>
          <w:lang w:val="en-US" w:eastAsia="zh-CN"/>
        </w:rPr>
        <w:t>s channel measurement derived from the SRS that UE sends, the ground truth label is the UE</w:t>
      </w:r>
      <w:r>
        <w:rPr>
          <w:rFonts w:hint="default" w:ascii="Times New Roman" w:hAnsi="Times New Roman" w:eastAsia="宋体"/>
          <w:lang w:val="en-US" w:eastAsia="zh-CN"/>
        </w:rPr>
        <w:t>’</w:t>
      </w:r>
      <w:r>
        <w:rPr>
          <w:rFonts w:hint="eastAsia" w:ascii="Times New Roman" w:hAnsi="Times New Roman" w:eastAsia="宋体"/>
          <w:lang w:val="en-US" w:eastAsia="zh-CN"/>
        </w:rPr>
        <w:t>s location. Therefore UE additional condition such as UE location, UE velocity, etc., can also have impact on LMF</w:t>
      </w:r>
      <w:r>
        <w:rPr>
          <w:rFonts w:hint="default" w:ascii="Times New Roman" w:hAnsi="Times New Roman" w:eastAsia="宋体"/>
          <w:lang w:val="en-US" w:eastAsia="zh-CN"/>
        </w:rPr>
        <w:t>’</w:t>
      </w:r>
      <w:r>
        <w:rPr>
          <w:rFonts w:hint="eastAsia" w:ascii="Times New Roman" w:hAnsi="Times New Roman" w:eastAsia="宋体"/>
          <w:lang w:val="en-US" w:eastAsia="zh-CN"/>
        </w:rPr>
        <w:t>s model performance. That is to say, different LMF-side AI models can correspond to different UE or gNB additional conditions.</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Observation 4: For use case 3a, different gNB-side AI models can correspond to different UE or gNB additional conditions; for use case 3b, different LMF-side AI models can correspond to different UE or gNB additional conditions.</w:t>
      </w:r>
    </w:p>
    <w:p>
      <w:pPr>
        <w:adjustRightInd w:val="0"/>
        <w:snapToGrid w:val="0"/>
        <w:spacing w:before="156" w:beforeLines="50" w:after="156" w:afterLines="50" w:line="240" w:lineRule="auto"/>
        <w:rPr>
          <w:rFonts w:hint="eastAsia" w:ascii="Times New Roman" w:hAnsi="Times New Roman" w:eastAsia="宋体"/>
          <w:lang w:val="en-US" w:eastAsia="zh-CN"/>
        </w:rPr>
      </w:pPr>
      <w:r>
        <w:rPr>
          <w:rFonts w:hint="eastAsia" w:ascii="Times New Roman" w:hAnsi="Times New Roman" w:eastAsia="宋体"/>
          <w:lang w:val="en-US" w:eastAsia="zh-CN"/>
        </w:rPr>
        <w:t>Based on the above understanding of functionality and AI model, there can have following approaches to control the LCM:</w:t>
      </w:r>
    </w:p>
    <w:p>
      <w:pPr>
        <w:numPr>
          <w:ilvl w:val="0"/>
          <w:numId w:val="10"/>
        </w:numPr>
        <w:adjustRightInd w:val="0"/>
        <w:snapToGrid w:val="0"/>
        <w:spacing w:before="156" w:beforeLines="50" w:after="156" w:afterLines="50" w:line="240" w:lineRule="auto"/>
        <w:ind w:left="420" w:leftChars="0" w:hanging="420" w:firstLineChars="0"/>
        <w:rPr>
          <w:rFonts w:hint="default" w:ascii="Times New Roman" w:hAnsi="Times New Roman" w:eastAsia="宋体"/>
          <w:u w:val="single"/>
          <w:lang w:val="en-US" w:eastAsia="zh-CN"/>
        </w:rPr>
      </w:pPr>
      <w:r>
        <w:rPr>
          <w:rFonts w:hint="eastAsia" w:ascii="Times New Roman" w:hAnsi="Times New Roman" w:eastAsia="宋体"/>
          <w:u w:val="single"/>
          <w:lang w:val="en-US" w:eastAsia="zh-CN"/>
        </w:rPr>
        <w:t>Approach 1: LMF activates/deactivates the gNB functionality, and LMF activates/deactivates the AI model of the functionality.</w:t>
      </w:r>
    </w:p>
    <w:p>
      <w:pPr>
        <w:numPr>
          <w:ilvl w:val="1"/>
          <w:numId w:val="10"/>
        </w:numPr>
        <w:adjustRightInd w:val="0"/>
        <w:snapToGrid w:val="0"/>
        <w:spacing w:before="156" w:beforeLines="50" w:after="156" w:afterLines="50" w:line="240" w:lineRule="auto"/>
        <w:ind w:left="84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Approach 1 means whether gNB activates/deactivates use case 3a or 3b is determined and indicated by LMF. For use case 3a where the AI model is at gNB side, LMF should further determine and indicate to gNB that which AI model should be activated/deactivated. That is to say, LMF needs to get gNB</w:t>
      </w:r>
      <w:r>
        <w:rPr>
          <w:rFonts w:hint="default" w:ascii="Times New Roman" w:hAnsi="Times New Roman" w:eastAsia="宋体"/>
          <w:lang w:val="en-US" w:eastAsia="zh-CN"/>
        </w:rPr>
        <w:t>’</w:t>
      </w:r>
      <w:r>
        <w:rPr>
          <w:rFonts w:hint="eastAsia" w:ascii="Times New Roman" w:hAnsi="Times New Roman" w:eastAsia="宋体"/>
          <w:lang w:val="en-US" w:eastAsia="zh-CN"/>
        </w:rPr>
        <w:t>s applicable functionality to know which functionality is currently available/unavailable to gNB, and LMF should also know the relationship between gNB/UE side additional condition and the AI model, so that LMF knows which AI model is currently available/unavailable to gNB.</w:t>
      </w:r>
    </w:p>
    <w:p>
      <w:pPr>
        <w:numPr>
          <w:ilvl w:val="0"/>
          <w:numId w:val="10"/>
        </w:numPr>
        <w:adjustRightInd w:val="0"/>
        <w:snapToGrid w:val="0"/>
        <w:spacing w:before="156" w:beforeLines="50" w:after="156" w:afterLines="50" w:line="240" w:lineRule="auto"/>
        <w:ind w:left="420" w:leftChars="0" w:hanging="420" w:firstLineChars="0"/>
        <w:rPr>
          <w:rFonts w:hint="eastAsia" w:ascii="Times New Roman" w:hAnsi="Times New Roman" w:eastAsia="宋体"/>
          <w:u w:val="single"/>
          <w:lang w:val="en-US" w:eastAsia="zh-CN"/>
        </w:rPr>
      </w:pPr>
      <w:r>
        <w:rPr>
          <w:rFonts w:hint="eastAsia" w:ascii="Times New Roman" w:hAnsi="Times New Roman" w:eastAsia="宋体"/>
          <w:u w:val="single"/>
          <w:lang w:val="en-US" w:eastAsia="zh-CN"/>
        </w:rPr>
        <w:t>Approach 2: LMF activates/deactivates the gNB functionality, and LMF can allow gNB to activate/deactivate the AI model of the functionality</w:t>
      </w:r>
    </w:p>
    <w:p>
      <w:pPr>
        <w:numPr>
          <w:ilvl w:val="0"/>
          <w:numId w:val="11"/>
        </w:numPr>
        <w:adjustRightInd w:val="0"/>
        <w:snapToGrid w:val="0"/>
        <w:spacing w:before="156" w:beforeLines="50" w:after="156" w:afterLines="50" w:line="240" w:lineRule="auto"/>
        <w:ind w:left="840" w:leftChars="0" w:hanging="420" w:firstLineChars="0"/>
        <w:rPr>
          <w:rFonts w:hint="default" w:ascii="Times New Roman" w:hAnsi="Times New Roman" w:eastAsia="宋体"/>
          <w:lang w:val="en-US" w:eastAsia="zh-CN"/>
        </w:rPr>
      </w:pPr>
      <w:r>
        <w:rPr>
          <w:rFonts w:hint="eastAsia" w:ascii="Times New Roman" w:hAnsi="Times New Roman" w:eastAsia="宋体"/>
          <w:lang w:val="en-US" w:eastAsia="zh-CN"/>
        </w:rPr>
        <w:t>Approach 2 means whether gNB activates/deactivates use case 3a or 3b is determined and indicated by LMF. For use case 3a where the AI model is at gNB side, LMF can allow gNB to activate/deactivate the AI model according to gNB/UE</w:t>
      </w:r>
      <w:r>
        <w:rPr>
          <w:rFonts w:hint="default" w:ascii="Times New Roman" w:hAnsi="Times New Roman" w:eastAsia="宋体"/>
          <w:lang w:val="en-US" w:eastAsia="zh-CN"/>
        </w:rPr>
        <w:t>’</w:t>
      </w:r>
      <w:r>
        <w:rPr>
          <w:rFonts w:hint="eastAsia" w:ascii="Times New Roman" w:hAnsi="Times New Roman" w:eastAsia="宋体"/>
          <w:lang w:val="en-US" w:eastAsia="zh-CN"/>
        </w:rPr>
        <w:t>s additional condition. That is to say, gNB needs to get UE</w:t>
      </w:r>
      <w:r>
        <w:rPr>
          <w:rFonts w:hint="default" w:ascii="Times New Roman" w:hAnsi="Times New Roman" w:eastAsia="宋体"/>
          <w:lang w:val="en-US" w:eastAsia="zh-CN"/>
        </w:rPr>
        <w:t>’</w:t>
      </w:r>
      <w:r>
        <w:rPr>
          <w:rFonts w:hint="eastAsia" w:ascii="Times New Roman" w:hAnsi="Times New Roman" w:eastAsia="宋体"/>
          <w:lang w:val="en-US" w:eastAsia="zh-CN"/>
        </w:rPr>
        <w:t>s additional condition to know which AI model should be activated/deactivated.</w:t>
      </w:r>
    </w:p>
    <w:p>
      <w:pPr>
        <w:numPr>
          <w:ilvl w:val="0"/>
          <w:numId w:val="10"/>
        </w:numPr>
        <w:adjustRightInd w:val="0"/>
        <w:snapToGrid w:val="0"/>
        <w:spacing w:before="156" w:beforeLines="50" w:after="156" w:afterLines="50" w:line="240" w:lineRule="auto"/>
        <w:ind w:left="420" w:leftChars="0" w:hanging="420" w:firstLineChars="0"/>
        <w:rPr>
          <w:rFonts w:hint="default" w:ascii="Times New Roman" w:hAnsi="Times New Roman" w:eastAsia="宋体"/>
          <w:u w:val="single"/>
          <w:lang w:val="en-US" w:eastAsia="zh-CN"/>
        </w:rPr>
      </w:pPr>
      <w:r>
        <w:rPr>
          <w:rFonts w:hint="eastAsia" w:ascii="Times New Roman" w:hAnsi="Times New Roman" w:eastAsia="宋体"/>
          <w:u w:val="single"/>
          <w:lang w:val="en-US" w:eastAsia="zh-CN"/>
        </w:rPr>
        <w:t>Approach 3: LMF can allow gNB to activate/deactivate the functionality, and LMF can allow gNB to activate/deactivate the AI model of the functionality, and gNB reports the activated/deactivated functionality to LMF</w:t>
      </w:r>
    </w:p>
    <w:p>
      <w:pPr>
        <w:numPr>
          <w:ilvl w:val="0"/>
          <w:numId w:val="12"/>
        </w:numPr>
        <w:adjustRightInd w:val="0"/>
        <w:snapToGrid w:val="0"/>
        <w:spacing w:before="156" w:beforeLines="50" w:after="156" w:afterLines="50" w:line="240" w:lineRule="auto"/>
        <w:ind w:left="840" w:leftChars="0" w:hanging="420" w:firstLineChars="0"/>
        <w:rPr>
          <w:rFonts w:hint="eastAsia" w:ascii="Times New Roman" w:hAnsi="Times New Roman" w:eastAsia="宋体"/>
          <w:lang w:val="en-US" w:eastAsia="zh-CN"/>
        </w:rPr>
      </w:pPr>
      <w:r>
        <w:rPr>
          <w:rFonts w:hint="eastAsia" w:ascii="Times New Roman" w:hAnsi="Times New Roman" w:eastAsia="宋体"/>
          <w:lang w:val="en-US" w:eastAsia="zh-CN"/>
        </w:rPr>
        <w:t>Approach 3 means LMF can allow gNB to activate/deactivate use case3a or use case 3b according to gNB</w:t>
      </w:r>
      <w:r>
        <w:rPr>
          <w:rFonts w:hint="default" w:ascii="Times New Roman" w:hAnsi="Times New Roman" w:eastAsia="宋体"/>
          <w:lang w:val="en-US" w:eastAsia="zh-CN"/>
        </w:rPr>
        <w:t>’</w:t>
      </w:r>
      <w:r>
        <w:rPr>
          <w:rFonts w:hint="eastAsia" w:ascii="Times New Roman" w:hAnsi="Times New Roman" w:eastAsia="宋体"/>
          <w:lang w:val="en-US" w:eastAsia="zh-CN"/>
        </w:rPr>
        <w:t>s own applicable functionalities. That is to say, LMF can allow gNB to report AI intermediate feature (using use case 3a) or to report SRS channel measurement (using use case 3b). Then gNB should let LMF know which functionalities is activated/deactivated. Further, LMF can allow gNB to activate/deactivate the AI model according to gNB/UE</w:t>
      </w:r>
      <w:r>
        <w:rPr>
          <w:rFonts w:hint="default" w:ascii="Times New Roman" w:hAnsi="Times New Roman" w:eastAsia="宋体"/>
          <w:lang w:val="en-US" w:eastAsia="zh-CN"/>
        </w:rPr>
        <w:t>’</w:t>
      </w:r>
      <w:r>
        <w:rPr>
          <w:rFonts w:hint="eastAsia" w:ascii="Times New Roman" w:hAnsi="Times New Roman" w:eastAsia="宋体"/>
          <w:lang w:val="en-US" w:eastAsia="zh-CN"/>
        </w:rPr>
        <w:t>s additional condition.</w:t>
      </w:r>
    </w:p>
    <w:p>
      <w:pPr>
        <w:numPr>
          <w:ilvl w:val="0"/>
          <w:numId w:val="12"/>
        </w:numPr>
        <w:adjustRightInd w:val="0"/>
        <w:snapToGrid w:val="0"/>
        <w:spacing w:before="156" w:beforeLines="50" w:after="156" w:afterLines="50" w:line="240" w:lineRule="auto"/>
        <w:ind w:left="840" w:leftChars="0" w:hanging="420" w:firstLineChars="0"/>
        <w:rPr>
          <w:rFonts w:hint="eastAsia" w:ascii="Times New Roman" w:hAnsi="Times New Roman" w:eastAsia="宋体"/>
          <w:lang w:val="en-US" w:eastAsia="zh-CN"/>
        </w:rPr>
      </w:pPr>
      <w:r>
        <w:rPr>
          <w:rFonts w:hint="eastAsia" w:ascii="Times New Roman" w:hAnsi="Times New Roman" w:eastAsia="宋体"/>
          <w:lang w:val="en-US" w:eastAsia="zh-CN"/>
        </w:rPr>
        <w:t>Letting LMF know gNB</w:t>
      </w:r>
      <w:r>
        <w:rPr>
          <w:rFonts w:hint="default" w:ascii="Times New Roman" w:hAnsi="Times New Roman" w:eastAsia="宋体"/>
          <w:lang w:val="en-US" w:eastAsia="zh-CN"/>
        </w:rPr>
        <w:t>’</w:t>
      </w:r>
      <w:r>
        <w:rPr>
          <w:rFonts w:hint="eastAsia" w:ascii="Times New Roman" w:hAnsi="Times New Roman" w:eastAsia="宋体"/>
          <w:lang w:val="en-US" w:eastAsia="zh-CN"/>
        </w:rPr>
        <w:t>s decision of functionality may not need new explicit signaling since in AI/ML positioning, different functionalities has different kinds of reporting content. LMF can differentiate different kinds of functionality according to different kinds of reporting content that gNB reports.</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 xml:space="preserve">As mentioned above, the relationship between additional condition and AI model is hard to specify, so LMF is hard to know such information. </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lang w:val="en-US" w:eastAsia="zh-CN"/>
        </w:rPr>
      </w:pPr>
      <w:r>
        <w:rPr>
          <w:rFonts w:hint="eastAsia" w:ascii="Times New Roman" w:hAnsi="Times New Roman" w:eastAsia="宋体"/>
          <w:lang w:val="en-US" w:eastAsia="zh-CN"/>
        </w:rPr>
        <w:t>It can be seen that approach 2 and 3 both require gNB to know the UE</w:t>
      </w:r>
      <w:r>
        <w:rPr>
          <w:rFonts w:hint="default" w:ascii="Times New Roman" w:hAnsi="Times New Roman" w:eastAsia="宋体"/>
          <w:lang w:val="en-US" w:eastAsia="zh-CN"/>
        </w:rPr>
        <w:t>’</w:t>
      </w:r>
      <w:r>
        <w:rPr>
          <w:rFonts w:hint="eastAsia" w:ascii="Times New Roman" w:hAnsi="Times New Roman" w:eastAsia="宋体"/>
          <w:lang w:val="en-US" w:eastAsia="zh-CN"/>
        </w:rPr>
        <w:t>s additional condition to make AI model decision. If the UE is PRU then we think the problem can be easily solved, i.e., gNB can get the PRU</w:t>
      </w:r>
      <w:r>
        <w:rPr>
          <w:rFonts w:hint="default" w:ascii="Times New Roman" w:hAnsi="Times New Roman" w:eastAsia="宋体"/>
          <w:lang w:val="en-US" w:eastAsia="zh-CN"/>
        </w:rPr>
        <w:t>’</w:t>
      </w:r>
      <w:r>
        <w:rPr>
          <w:rFonts w:hint="eastAsia" w:ascii="Times New Roman" w:hAnsi="Times New Roman" w:eastAsia="宋体"/>
          <w:lang w:val="en-US" w:eastAsia="zh-CN"/>
        </w:rPr>
        <w:t>s current additional condition and get the SRS sent by the PRU, gNB can activate/deactivate the AI model according to PRU/gNB additional conditions.</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Since gNB can know the PRU side additional condition and gNB side additional condition, it is more efficient to let gNB decide the AI model under each functionality, i.e., go with approach 2 or approach 3.</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8: For AI/ML positioning use case 3a and 3b, RAN2 assumes the following approaches can be used for functionality-LCM:</w:t>
      </w:r>
    </w:p>
    <w:p>
      <w:pPr>
        <w:numPr>
          <w:ilvl w:val="0"/>
          <w:numId w:val="10"/>
        </w:numPr>
        <w:adjustRightInd w:val="0"/>
        <w:snapToGrid w:val="0"/>
        <w:spacing w:before="156" w:beforeLines="50" w:after="156" w:afterLines="50" w:line="240" w:lineRule="auto"/>
        <w:ind w:left="420" w:leftChars="0" w:hanging="420" w:firstLine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LMF activates/deactivates the functionality</w:t>
      </w:r>
    </w:p>
    <w:p>
      <w:pPr>
        <w:numPr>
          <w:ilvl w:val="0"/>
          <w:numId w:val="10"/>
        </w:numPr>
        <w:adjustRightInd w:val="0"/>
        <w:snapToGrid w:val="0"/>
        <w:spacing w:before="156" w:beforeLines="50" w:after="156" w:afterLines="50" w:line="240" w:lineRule="auto"/>
        <w:ind w:left="420" w:leftChars="0" w:hanging="420" w:firstLine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gNB activates/deactivates the functionality</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b/>
          <w:bCs/>
          <w:i/>
          <w:iCs/>
          <w:lang w:val="en-US" w:eastAsia="zh-CN"/>
        </w:rPr>
        <w:t>Proposal 9: For AI/ML positioning use case 3a, RAN2 assumes that LMF can allow gNB to activate/deactivate the AI model of the functionality for model-LCM.</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Proposal 10: For use case 3a, RAN2 assumes that gNB should to know the PRU side additional condition to determine a AI model. FFS on how gNB get such information.</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lang w:val="en-US" w:eastAsia="zh-CN"/>
        </w:rPr>
      </w:pPr>
      <w:r>
        <w:rPr>
          <w:rFonts w:hint="eastAsia" w:ascii="Times New Roman" w:hAnsi="Times New Roman" w:eastAsia="宋体"/>
          <w:lang w:val="en-US" w:eastAsia="zh-CN"/>
        </w:rPr>
        <w:t>This section should be low priority in RAN2 discussion as the main signaling is between gNB and LMF, which is RAN3</w:t>
      </w:r>
      <w:r>
        <w:rPr>
          <w:rFonts w:hint="default" w:ascii="Times New Roman" w:hAnsi="Times New Roman" w:eastAsia="宋体"/>
          <w:lang w:val="en-US" w:eastAsia="zh-CN"/>
        </w:rPr>
        <w:t>’</w:t>
      </w:r>
      <w:r>
        <w:rPr>
          <w:rFonts w:hint="eastAsia" w:ascii="Times New Roman" w:hAnsi="Times New Roman" w:eastAsia="宋体"/>
          <w:lang w:val="en-US" w:eastAsia="zh-CN"/>
        </w:rPr>
        <w:t>s scope. However RAN3 will start their discussion in August meeting with only 0.5 TU, it will be more efficient if RAN2 can make some recommendation or assumptions on use case 3a and 3b from RAN2 perspective, and send LS to them. Also, it is not hard to make such recommendation or assumptions, since the principle of LMF-UE and LMF-gNB use cases are very similar, we can make the  recommendation or assumptions of LMF-gNB use cases according to RAN2</w:t>
      </w:r>
      <w:r>
        <w:rPr>
          <w:rFonts w:hint="default" w:ascii="Times New Roman" w:hAnsi="Times New Roman" w:eastAsia="宋体"/>
          <w:lang w:val="en-US" w:eastAsia="zh-CN"/>
        </w:rPr>
        <w:t>’</w:t>
      </w:r>
      <w:r>
        <w:rPr>
          <w:rFonts w:hint="eastAsia" w:ascii="Times New Roman" w:hAnsi="Times New Roman" w:eastAsia="宋体"/>
          <w:lang w:val="en-US" w:eastAsia="zh-CN"/>
        </w:rPr>
        <w:t>s agreement on LMF-UE use cases.</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Proposal 11: Send LS to RAN3 about RAN2</w:t>
      </w:r>
      <w:r>
        <w:rPr>
          <w:rFonts w:hint="default" w:ascii="Times New Roman" w:hAnsi="Times New Roman" w:eastAsia="宋体"/>
          <w:b/>
          <w:bCs/>
          <w:i/>
          <w:iCs/>
          <w:lang w:val="en-US" w:eastAsia="zh-CN"/>
        </w:rPr>
        <w:t>’</w:t>
      </w:r>
      <w:r>
        <w:rPr>
          <w:rFonts w:hint="eastAsia" w:ascii="Times New Roman" w:hAnsi="Times New Roman" w:eastAsia="宋体"/>
          <w:b/>
          <w:bCs/>
          <w:i/>
          <w:iCs/>
          <w:lang w:val="en-US" w:eastAsia="zh-CN"/>
        </w:rPr>
        <w:t>s agreement on use case 3a and use case 3b.</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cs="Arial"/>
          <w:kern w:val="0"/>
          <w:sz w:val="28"/>
          <w:szCs w:val="28"/>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adjustRightInd w:val="0"/>
        <w:snapToGrid w:val="0"/>
        <w:spacing w:before="156" w:beforeLines="50" w:after="156" w:afterLines="50" w:line="240" w:lineRule="auto"/>
        <w:rPr>
          <w:rFonts w:ascii="Times New Roman" w:hAnsi="Times New Roman"/>
          <w:b/>
          <w:bCs/>
          <w:kern w:val="0"/>
          <w:sz w:val="20"/>
          <w:szCs w:val="20"/>
          <w:u w:val="single"/>
          <w:lang w:val="en-US" w:eastAsia="zh-CN"/>
        </w:rPr>
      </w:pPr>
      <w:r>
        <w:rPr>
          <w:rFonts w:hint="eastAsia" w:ascii="Times New Roman" w:hAnsi="Times New Roman"/>
          <w:b/>
          <w:bCs/>
          <w:kern w:val="0"/>
          <w:sz w:val="20"/>
          <w:szCs w:val="20"/>
          <w:u w:val="single"/>
          <w:lang w:val="en-US" w:eastAsia="zh-CN"/>
        </w:rPr>
        <w:t>LCM of UE involved use case (use case 1, 2a and 2b)</w:t>
      </w:r>
    </w:p>
    <w:p>
      <w:pPr>
        <w:adjustRightInd w:val="0"/>
        <w:snapToGrid w:val="0"/>
        <w:spacing w:before="156" w:beforeLines="50" w:after="156" w:afterLines="50" w:line="240" w:lineRule="auto"/>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Observation 1: Use case 1, use case 2a and use case 2b have clear RAN2 LPP specification impacts.</w:t>
      </w:r>
    </w:p>
    <w:p>
      <w:pPr>
        <w:adjustRightInd w:val="0"/>
        <w:snapToGrid w:val="0"/>
        <w:spacing w:before="156" w:beforeLines="50" w:after="156" w:afterLines="50" w:line="240" w:lineRule="auto"/>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Observation 2: For AI/ML positioning, the NW additional conditions (e.g., TRP location, TRP synchronization error, TRP number, PRS configuration) can already be indicated to the UE in current LPP spec.</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Observation 3: Since NW side additional condition is already provided to UE, it is not necessary and not efficient to let UE report UE additional condition to LMF, then LMF decides the AI model and feedback to UE.</w:t>
      </w:r>
    </w:p>
    <w:p>
      <w:pPr>
        <w:adjustRightInd w:val="0"/>
        <w:snapToGrid w:val="0"/>
        <w:spacing w:before="156" w:beforeLines="50" w:after="156" w:afterLines="50" w:line="240" w:lineRule="auto"/>
        <w:rPr>
          <w:rFonts w:hint="eastAsia" w:ascii="Times New Roman" w:hAnsi="Times New Roman" w:eastAsia="宋体"/>
          <w:b/>
          <w:bCs/>
          <w:i/>
          <w:iCs/>
          <w:lang w:val="en-US" w:eastAsia="zh-CN"/>
        </w:rPr>
      </w:pPr>
    </w:p>
    <w:p>
      <w:pPr>
        <w:adjustRightInd w:val="0"/>
        <w:snapToGrid w:val="0"/>
        <w:spacing w:before="156" w:beforeLines="50" w:after="156" w:afterLines="50" w:line="240" w:lineRule="auto"/>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1: Support RAN2 to discuss LCM of use case 1, 2a and 2b together, even if use case 2b is not UE-side model.</w:t>
      </w:r>
    </w:p>
    <w:p>
      <w:pPr>
        <w:adjustRightInd w:val="0"/>
        <w:snapToGrid w:val="0"/>
        <w:spacing w:before="156" w:beforeLines="50" w:after="156" w:afterLines="50" w:line="240" w:lineRule="auto"/>
        <w:jc w:val="both"/>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Proposal 2: RAN2 do not specify the mapping between UE/NW additional conditions and AI models.</w:t>
      </w:r>
    </w:p>
    <w:p>
      <w:pPr>
        <w:adjustRightInd w:val="0"/>
        <w:snapToGrid w:val="0"/>
        <w:spacing w:before="156" w:beforeLines="50" w:after="156" w:afterLines="50" w:line="240" w:lineRule="auto"/>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3: For AI/ML positioning, the functionality can be recognized as use case 1, use case 2a and use case 2b.</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4: For AI/ML positioning use case 1, 2a and 2b, RAN2 to consider the following approaches for functionality-LCM:</w:t>
      </w:r>
    </w:p>
    <w:p>
      <w:pPr>
        <w:numPr>
          <w:ilvl w:val="0"/>
          <w:numId w:val="10"/>
        </w:numPr>
        <w:adjustRightInd w:val="0"/>
        <w:snapToGrid w:val="0"/>
        <w:spacing w:before="156" w:beforeLines="50" w:after="156" w:afterLines="50" w:line="240" w:lineRule="auto"/>
        <w:ind w:left="420" w:leftChars="0" w:hanging="420" w:firstLine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LMF activates/deactivates the functionality</w:t>
      </w:r>
    </w:p>
    <w:p>
      <w:pPr>
        <w:numPr>
          <w:ilvl w:val="0"/>
          <w:numId w:val="10"/>
        </w:numPr>
        <w:adjustRightInd w:val="0"/>
        <w:snapToGrid w:val="0"/>
        <w:spacing w:before="156" w:beforeLines="50" w:after="156" w:afterLines="50" w:line="240" w:lineRule="auto"/>
        <w:ind w:left="420" w:leftChars="0" w:hanging="420" w:firstLine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 xml:space="preserve">LMF allows UE to activate/deactivate the functionality </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val="0"/>
          <w:iCs w:val="0"/>
          <w:u w:val="single"/>
          <w:lang w:val="en-US" w:eastAsia="zh-CN"/>
        </w:rPr>
      </w:pPr>
      <w:r>
        <w:rPr>
          <w:rFonts w:hint="eastAsia" w:ascii="Times New Roman" w:hAnsi="Times New Roman" w:eastAsia="宋体"/>
          <w:b/>
          <w:bCs/>
          <w:i/>
          <w:iCs/>
          <w:lang w:val="en-US" w:eastAsia="zh-CN"/>
        </w:rPr>
        <w:t>Proposal 5: For AI/ML positioning use case 1 and 2a, RAN2 to consider that LMF allows UE to activate/deactivate the AI model of the functionality for model-LCM.</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val="0"/>
          <w:iCs w:val="0"/>
          <w:u w:val="single"/>
          <w:lang w:val="en-US" w:eastAsia="zh-CN"/>
        </w:rPr>
      </w:pP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val="0"/>
          <w:iCs w:val="0"/>
          <w:u w:val="single"/>
          <w:lang w:val="en-US" w:eastAsia="zh-CN"/>
        </w:rPr>
      </w:pPr>
      <w:r>
        <w:rPr>
          <w:rFonts w:hint="eastAsia" w:ascii="Times New Roman" w:hAnsi="Times New Roman" w:eastAsia="宋体"/>
          <w:b/>
          <w:bCs/>
          <w:i w:val="0"/>
          <w:iCs w:val="0"/>
          <w:u w:val="single"/>
          <w:lang w:val="en-US" w:eastAsia="zh-CN"/>
        </w:rPr>
        <w:t>Functionality management as positioning method</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6: From RAN2 signaling structure perspective, AI/ML positioning functionality (use case) can be managed as positioning method, i.e., activating a positioning method means activating the corresponding AI/ML positioning functionalities (use cases).</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7: RAN2 to consider the following options to map the AI/ML positioning functionality to the positioning method:</w:t>
      </w:r>
    </w:p>
    <w:p>
      <w:pPr>
        <w:numPr>
          <w:ilvl w:val="0"/>
          <w:numId w:val="13"/>
        </w:numPr>
        <w:adjustRightInd w:val="0"/>
        <w:snapToGrid w:val="0"/>
        <w:spacing w:before="156" w:beforeLines="50" w:after="156" w:afterLines="50" w:line="240" w:lineRule="auto"/>
        <w:ind w:left="420" w:leftChars="0" w:hanging="420" w:firstLine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Option 1: Introduce a new AI/ML positioning method in LPP for use case 1, 2a and 2b;</w:t>
      </w:r>
    </w:p>
    <w:p>
      <w:pPr>
        <w:numPr>
          <w:ilvl w:val="0"/>
          <w:numId w:val="13"/>
        </w:numPr>
        <w:adjustRightInd w:val="0"/>
        <w:snapToGrid w:val="0"/>
        <w:spacing w:before="156" w:beforeLines="50" w:after="156" w:afterLines="50" w:line="240" w:lineRule="auto"/>
        <w:ind w:left="420" w:leftChars="0" w:hanging="420" w:firstLine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Option 2: Introduce a new AI/ML positioning method in LPP for use case 1 and 2a;</w:t>
      </w:r>
    </w:p>
    <w:p>
      <w:pPr>
        <w:numPr>
          <w:ilvl w:val="0"/>
          <w:numId w:val="13"/>
        </w:numPr>
        <w:adjustRightInd w:val="0"/>
        <w:snapToGrid w:val="0"/>
        <w:spacing w:before="156" w:beforeLines="50" w:after="156" w:afterLines="50" w:line="240" w:lineRule="auto"/>
        <w:ind w:left="420" w:leftChars="0" w:hanging="420" w:firstLine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Option 3: Introduce a new AI/ML positioning method in LPP for use case 1 and 2b;</w:t>
      </w:r>
    </w:p>
    <w:p>
      <w:pPr>
        <w:numPr>
          <w:ilvl w:val="0"/>
          <w:numId w:val="13"/>
        </w:numPr>
        <w:adjustRightInd w:val="0"/>
        <w:snapToGrid w:val="0"/>
        <w:spacing w:before="156" w:beforeLines="50" w:after="156" w:afterLines="50" w:line="240" w:lineRule="auto"/>
        <w:ind w:left="420" w:leftChars="0" w:hanging="420" w:firstLine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Option 4: Introduce a new AI/ML positioning method in LPP for use case 2b.</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val="0"/>
          <w:iCs w:val="0"/>
          <w:sz w:val="21"/>
          <w:szCs w:val="21"/>
          <w:u w:val="single"/>
          <w:lang w:val="en-US" w:eastAsia="zh-CN"/>
        </w:rPr>
      </w:pP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val="0"/>
          <w:iCs w:val="0"/>
          <w:sz w:val="21"/>
          <w:szCs w:val="21"/>
          <w:u w:val="single"/>
          <w:lang w:val="en-US" w:eastAsia="zh-CN"/>
        </w:rPr>
      </w:pPr>
      <w:r>
        <w:rPr>
          <w:rFonts w:hint="default" w:ascii="Times New Roman" w:hAnsi="Times New Roman" w:eastAsia="宋体"/>
          <w:b/>
          <w:bCs/>
          <w:i w:val="0"/>
          <w:iCs w:val="0"/>
          <w:sz w:val="21"/>
          <w:szCs w:val="21"/>
          <w:u w:val="single"/>
          <w:lang w:val="en-US" w:eastAsia="zh-CN"/>
        </w:rPr>
        <w:t xml:space="preserve">LCM of gNB involved </w:t>
      </w:r>
      <w:r>
        <w:rPr>
          <w:rFonts w:hint="eastAsia" w:ascii="Times New Roman" w:hAnsi="Times New Roman" w:eastAsia="宋体"/>
          <w:b/>
          <w:bCs/>
          <w:i w:val="0"/>
          <w:iCs w:val="0"/>
          <w:sz w:val="21"/>
          <w:szCs w:val="21"/>
          <w:u w:val="single"/>
          <w:lang w:val="en-US" w:eastAsia="zh-CN"/>
        </w:rPr>
        <w:t>use case</w:t>
      </w:r>
      <w:r>
        <w:rPr>
          <w:rFonts w:hint="default" w:ascii="Times New Roman" w:hAnsi="Times New Roman" w:eastAsia="宋体"/>
          <w:b/>
          <w:bCs/>
          <w:i w:val="0"/>
          <w:iCs w:val="0"/>
          <w:sz w:val="21"/>
          <w:szCs w:val="21"/>
          <w:u w:val="single"/>
          <w:lang w:val="en-US" w:eastAsia="zh-CN"/>
        </w:rPr>
        <w:t xml:space="preserve"> (</w:t>
      </w:r>
      <w:r>
        <w:rPr>
          <w:rFonts w:hint="eastAsia" w:ascii="Times New Roman" w:hAnsi="Times New Roman" w:eastAsia="宋体"/>
          <w:b/>
          <w:bCs/>
          <w:i w:val="0"/>
          <w:iCs w:val="0"/>
          <w:sz w:val="21"/>
          <w:szCs w:val="21"/>
          <w:u w:val="single"/>
          <w:lang w:val="en-US" w:eastAsia="zh-CN"/>
        </w:rPr>
        <w:t>use case</w:t>
      </w:r>
      <w:r>
        <w:rPr>
          <w:rFonts w:hint="default" w:ascii="Times New Roman" w:hAnsi="Times New Roman" w:eastAsia="宋体"/>
          <w:b/>
          <w:bCs/>
          <w:i w:val="0"/>
          <w:iCs w:val="0"/>
          <w:sz w:val="21"/>
          <w:szCs w:val="21"/>
          <w:u w:val="single"/>
          <w:lang w:val="en-US" w:eastAsia="zh-CN"/>
        </w:rPr>
        <w:t xml:space="preserve"> 3a and 3b)</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Observation 4: For use case 3a, different gNB-side AI models can correspond to different UE or gNB additional conditions; for use case 3b, different LMF-side AI models can correspond to different UE or gNB additional conditions.</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Proposal 8: For AI/ML positioning use case 3a and 3b, RAN2 assumes the following approaches can be used for functionality-LCM:</w:t>
      </w:r>
    </w:p>
    <w:p>
      <w:pPr>
        <w:numPr>
          <w:ilvl w:val="0"/>
          <w:numId w:val="10"/>
        </w:numPr>
        <w:adjustRightInd w:val="0"/>
        <w:snapToGrid w:val="0"/>
        <w:spacing w:before="156" w:beforeLines="50" w:after="156" w:afterLines="50" w:line="240" w:lineRule="auto"/>
        <w:ind w:left="420" w:leftChars="0" w:hanging="420" w:firstLineChars="0"/>
        <w:rPr>
          <w:rFonts w:hint="eastAsia" w:ascii="Times New Roman" w:hAnsi="Times New Roman" w:eastAsia="宋体"/>
          <w:b/>
          <w:bCs/>
          <w:i/>
          <w:iCs/>
          <w:lang w:val="en-US" w:eastAsia="zh-CN"/>
        </w:rPr>
      </w:pPr>
      <w:r>
        <w:rPr>
          <w:rFonts w:hint="eastAsia" w:ascii="Times New Roman" w:hAnsi="Times New Roman" w:eastAsia="宋体"/>
          <w:b/>
          <w:bCs/>
          <w:i/>
          <w:iCs/>
          <w:lang w:val="en-US" w:eastAsia="zh-CN"/>
        </w:rPr>
        <w:t>LMF activates/deactivates the functionality</w:t>
      </w:r>
    </w:p>
    <w:p>
      <w:pPr>
        <w:numPr>
          <w:ilvl w:val="0"/>
          <w:numId w:val="10"/>
        </w:numPr>
        <w:adjustRightInd w:val="0"/>
        <w:snapToGrid w:val="0"/>
        <w:spacing w:before="156" w:beforeLines="50" w:after="156" w:afterLines="50" w:line="240" w:lineRule="auto"/>
        <w:ind w:left="420" w:leftChars="0" w:hanging="420" w:firstLine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gNB activates/deactivates the functionality</w:t>
      </w:r>
    </w:p>
    <w:p>
      <w:pPr>
        <w:numPr>
          <w:ilvl w:val="0"/>
          <w:numId w:val="0"/>
        </w:numPr>
        <w:adjustRightInd w:val="0"/>
        <w:snapToGrid w:val="0"/>
        <w:spacing w:before="156" w:beforeLines="50" w:after="156" w:afterLines="50" w:line="240" w:lineRule="auto"/>
        <w:ind w:leftChars="0"/>
        <w:rPr>
          <w:rFonts w:hint="eastAsia" w:ascii="Times New Roman" w:hAnsi="Times New Roman" w:eastAsia="宋体"/>
          <w:lang w:val="en-US" w:eastAsia="zh-CN"/>
        </w:rPr>
      </w:pPr>
      <w:r>
        <w:rPr>
          <w:rFonts w:hint="eastAsia" w:ascii="Times New Roman" w:hAnsi="Times New Roman" w:eastAsia="宋体"/>
          <w:b/>
          <w:bCs/>
          <w:i/>
          <w:iCs/>
          <w:lang w:val="en-US" w:eastAsia="zh-CN"/>
        </w:rPr>
        <w:t>Proposal 9: For AI/ML positioning use case 3a, RAN2 assumes that LMF can allow gNB to activate/deactivate the AI model of the functionality for model-LCM.</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Proposal 10: For use case 3a, RAN2 assumes that gNB sh</w:t>
      </w:r>
      <w:bookmarkStart w:id="7" w:name="_GoBack"/>
      <w:bookmarkEnd w:id="7"/>
      <w:r>
        <w:rPr>
          <w:rFonts w:hint="eastAsia" w:ascii="Times New Roman" w:hAnsi="Times New Roman" w:eastAsia="宋体"/>
          <w:b/>
          <w:bCs/>
          <w:i/>
          <w:iCs/>
          <w:lang w:val="en-US" w:eastAsia="zh-CN"/>
        </w:rPr>
        <w:t>ould to know the PRU side additional condition to determine a AI model. FFS on how gNB get such information.</w:t>
      </w:r>
    </w:p>
    <w:p>
      <w:pPr>
        <w:numPr>
          <w:ilvl w:val="0"/>
          <w:numId w:val="0"/>
        </w:numPr>
        <w:adjustRightInd w:val="0"/>
        <w:snapToGrid w:val="0"/>
        <w:spacing w:before="156" w:beforeLines="50" w:after="156" w:afterLines="50" w:line="240" w:lineRule="auto"/>
        <w:ind w:leftChars="0"/>
        <w:rPr>
          <w:rFonts w:hint="default" w:ascii="Times New Roman" w:hAnsi="Times New Roman" w:eastAsia="宋体"/>
          <w:b/>
          <w:bCs/>
          <w:i/>
          <w:iCs/>
          <w:lang w:val="en-US" w:eastAsia="zh-CN"/>
        </w:rPr>
      </w:pPr>
      <w:r>
        <w:rPr>
          <w:rFonts w:hint="eastAsia" w:ascii="Times New Roman" w:hAnsi="Times New Roman" w:eastAsia="宋体"/>
          <w:b/>
          <w:bCs/>
          <w:i/>
          <w:iCs/>
          <w:lang w:val="en-US" w:eastAsia="zh-CN"/>
        </w:rPr>
        <w:t>Proposal 11: Send LS to RAN3 about RAN2</w:t>
      </w:r>
      <w:r>
        <w:rPr>
          <w:rFonts w:hint="default" w:ascii="Times New Roman" w:hAnsi="Times New Roman" w:eastAsia="宋体"/>
          <w:b/>
          <w:bCs/>
          <w:i/>
          <w:iCs/>
          <w:lang w:val="en-US" w:eastAsia="zh-CN"/>
        </w:rPr>
        <w:t>’</w:t>
      </w:r>
      <w:r>
        <w:rPr>
          <w:rFonts w:hint="eastAsia" w:ascii="Times New Roman" w:hAnsi="Times New Roman" w:eastAsia="宋体"/>
          <w:b/>
          <w:bCs/>
          <w:i/>
          <w:iCs/>
          <w:lang w:val="en-US" w:eastAsia="zh-CN"/>
        </w:rPr>
        <w:t>s agreement on use case 3a and use case 3b.</w:t>
      </w:r>
    </w:p>
    <w:p>
      <w:pPr>
        <w:adjustRightInd w:val="0"/>
        <w:snapToGrid w:val="0"/>
        <w:spacing w:before="156" w:beforeLines="50" w:after="156" w:afterLines="50" w:line="240" w:lineRule="auto"/>
        <w:rPr>
          <w:rFonts w:ascii="Times New Roman" w:hAnsi="Times New Roman"/>
          <w:kern w:val="0"/>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sz w:val="28"/>
          <w:szCs w:val="28"/>
          <w:lang w:val="en-US" w:eastAsia="zh-CN"/>
        </w:rPr>
        <w:t xml:space="preserve"> </w:t>
      </w:r>
      <w:r>
        <w:rPr>
          <w:rFonts w:hint="eastAsia" w:cs="Arial"/>
          <w:kern w:val="0"/>
          <w:sz w:val="28"/>
          <w:szCs w:val="28"/>
          <w:lang w:val="en-US" w:eastAsia="zh-CN"/>
        </w:rPr>
        <w:t>Reference</w:t>
      </w:r>
    </w:p>
    <w:p>
      <w:pPr>
        <w:keepNext w:val="0"/>
        <w:keepLines w:val="0"/>
        <w:pageBreakBefore w:val="0"/>
        <w:widowControl w:val="0"/>
        <w:numPr>
          <w:ilvl w:val="0"/>
          <w:numId w:val="17"/>
        </w:numPr>
        <w:kinsoku/>
        <w:wordWrap/>
        <w:overflowPunct/>
        <w:topLinePunct w:val="0"/>
        <w:bidi w:val="0"/>
        <w:adjustRightInd w:val="0"/>
        <w:snapToGrid w:val="0"/>
        <w:spacing w:before="156" w:beforeLines="50" w:after="156" w:afterLines="50" w:line="240" w:lineRule="auto"/>
        <w:textAlignment w:val="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R</w:t>
      </w:r>
      <w:r>
        <w:rPr>
          <w:rFonts w:ascii="Times New Roman" w:hAnsi="Times New Roman"/>
          <w:kern w:val="0"/>
          <w:sz w:val="20"/>
          <w:szCs w:val="20"/>
          <w:lang w:val="en-US" w:eastAsia="zh-CN"/>
        </w:rPr>
        <w:t>P-234039, New WID on Artificial Intelligence (AI)/Machine Learning (ML) for NR Air Interface, 2023-12</w:t>
      </w:r>
    </w:p>
    <w:p>
      <w:pPr>
        <w:keepNext w:val="0"/>
        <w:keepLines w:val="0"/>
        <w:pageBreakBefore w:val="0"/>
        <w:widowControl w:val="0"/>
        <w:numPr>
          <w:ilvl w:val="0"/>
          <w:numId w:val="18"/>
        </w:numPr>
        <w:kinsoku/>
        <w:wordWrap/>
        <w:overflowPunct/>
        <w:topLinePunct w:val="0"/>
        <w:autoSpaceDE w:val="0"/>
        <w:autoSpaceDN w:val="0"/>
        <w:bidi w:val="0"/>
        <w:adjustRightInd w:val="0"/>
        <w:snapToGrid w:val="0"/>
        <w:spacing w:before="156" w:beforeLines="50" w:after="156" w:afterLines="50" w:line="240" w:lineRule="auto"/>
        <w:textAlignment w:val="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rPr>
        <w:t>2</w:t>
      </w:r>
      <w:r>
        <w:rPr>
          <w:rFonts w:ascii="Times New Roman" w:hAnsi="Times New Roman"/>
          <w:color w:val="000000"/>
          <w:sz w:val="20"/>
          <w:szCs w:val="20"/>
        </w:rPr>
        <w:t xml:space="preserve"> meeting #1</w:t>
      </w:r>
      <w:r>
        <w:rPr>
          <w:rFonts w:hint="eastAsia" w:ascii="Times New Roman" w:hAnsi="Times New Roman"/>
          <w:color w:val="000000"/>
          <w:sz w:val="20"/>
          <w:szCs w:val="20"/>
        </w:rPr>
        <w:t>2</w:t>
      </w:r>
      <w:r>
        <w:rPr>
          <w:rFonts w:hint="eastAsia" w:ascii="Times New Roman" w:hAnsi="Times New Roman"/>
          <w:color w:val="000000"/>
          <w:sz w:val="20"/>
          <w:szCs w:val="20"/>
          <w:lang w:val="en-US" w:eastAsia="zh-CN"/>
        </w:rPr>
        <w:t>5-bis</w:t>
      </w:r>
      <w:r>
        <w:rPr>
          <w:rFonts w:ascii="Times New Roman" w:hAnsi="Times New Roman"/>
          <w:color w:val="000000"/>
          <w:sz w:val="20"/>
          <w:szCs w:val="20"/>
        </w:rPr>
        <w:t xml:space="preserve">, </w:t>
      </w:r>
      <w:r>
        <w:rPr>
          <w:rFonts w:hint="eastAsia" w:ascii="Times New Roman" w:hAnsi="Times New Roman"/>
          <w:color w:val="000000"/>
          <w:sz w:val="20"/>
          <w:szCs w:val="20"/>
          <w:lang w:val="en-US" w:eastAsia="zh-CN"/>
        </w:rPr>
        <w:t>Changsha</w:t>
      </w:r>
      <w:r>
        <w:rPr>
          <w:rFonts w:hint="eastAsia" w:ascii="Times New Roman" w:hAnsi="Times New Roman"/>
          <w:color w:val="000000"/>
          <w:sz w:val="20"/>
          <w:szCs w:val="20"/>
        </w:rPr>
        <w:t>,</w:t>
      </w:r>
      <w:r>
        <w:rPr>
          <w:rFonts w:hint="eastAsia" w:ascii="Times New Roman" w:hAnsi="Times New Roman"/>
          <w:color w:val="000000"/>
          <w:sz w:val="20"/>
          <w:szCs w:val="20"/>
          <w:lang w:val="en-US" w:eastAsia="zh-CN"/>
        </w:rPr>
        <w:t xml:space="preserve"> China,</w:t>
      </w:r>
      <w:r>
        <w:rPr>
          <w:rFonts w:ascii="Times New Roman" w:hAnsi="Times New Roman"/>
          <w:color w:val="000000"/>
          <w:sz w:val="20"/>
          <w:szCs w:val="20"/>
        </w:rPr>
        <w:t xml:space="preserve"> 202</w:t>
      </w:r>
      <w:r>
        <w:rPr>
          <w:rFonts w:hint="eastAsia" w:ascii="Times New Roman" w:hAnsi="Times New Roman"/>
          <w:color w:val="000000"/>
          <w:sz w:val="20"/>
          <w:szCs w:val="20"/>
          <w:lang w:val="en-US" w:eastAsia="zh-CN"/>
        </w:rPr>
        <w:t>4-04</w:t>
      </w:r>
    </w:p>
    <w:p>
      <w:pPr>
        <w:keepNext w:val="0"/>
        <w:keepLines w:val="0"/>
        <w:pageBreakBefore w:val="0"/>
        <w:widowControl w:val="0"/>
        <w:numPr>
          <w:ilvl w:val="0"/>
          <w:numId w:val="17"/>
        </w:numPr>
        <w:kinsoku/>
        <w:wordWrap/>
        <w:overflowPunct/>
        <w:topLinePunct w:val="0"/>
        <w:bidi w:val="0"/>
        <w:adjustRightInd w:val="0"/>
        <w:snapToGrid w:val="0"/>
        <w:spacing w:before="156" w:beforeLines="50" w:after="156"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TS 38.305-i10, Stage 2 functional specification of User Equipment (UE) positioning in NG-RAN, 2024-03</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2A4EB"/>
    <w:multiLevelType w:val="multilevel"/>
    <w:tmpl w:val="8D72A4EB"/>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9ACFBB2E"/>
    <w:multiLevelType w:val="singleLevel"/>
    <w:tmpl w:val="9ACFBB2E"/>
    <w:lvl w:ilvl="0" w:tentative="0">
      <w:start w:val="1"/>
      <w:numFmt w:val="decimal"/>
      <w:suff w:val="space"/>
      <w:lvlText w:val="[%1]"/>
      <w:lvlJc w:val="left"/>
    </w:lvl>
  </w:abstractNum>
  <w:abstractNum w:abstractNumId="3">
    <w:nsid w:val="D74F0AFB"/>
    <w:multiLevelType w:val="multilevel"/>
    <w:tmpl w:val="D74F0AF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E9A198AD"/>
    <w:multiLevelType w:val="singleLevel"/>
    <w:tmpl w:val="E9A198AD"/>
    <w:lvl w:ilvl="0" w:tentative="0">
      <w:start w:val="1"/>
      <w:numFmt w:val="bullet"/>
      <w:lvlText w:val=""/>
      <w:lvlJc w:val="left"/>
      <w:pPr>
        <w:ind w:left="420" w:hanging="420"/>
      </w:pPr>
      <w:rPr>
        <w:rFonts w:hint="default" w:ascii="Wingdings" w:hAnsi="Wingdings"/>
      </w:rPr>
    </w:lvl>
  </w:abstractNum>
  <w:abstractNum w:abstractNumId="5">
    <w:nsid w:val="F74B804E"/>
    <w:multiLevelType w:val="singleLevel"/>
    <w:tmpl w:val="F74B804E"/>
    <w:lvl w:ilvl="0" w:tentative="0">
      <w:start w:val="1"/>
      <w:numFmt w:val="bullet"/>
      <w:lvlText w:val=""/>
      <w:lvlJc w:val="left"/>
      <w:pPr>
        <w:ind w:left="420" w:hanging="420"/>
      </w:pPr>
      <w:rPr>
        <w:rFonts w:hint="default" w:ascii="Wingdings" w:hAnsi="Wingdings"/>
      </w:rPr>
    </w:lvl>
  </w:abstractNum>
  <w:abstractNum w:abstractNumId="6">
    <w:nsid w:val="FA09ED98"/>
    <w:multiLevelType w:val="singleLevel"/>
    <w:tmpl w:val="FA09ED98"/>
    <w:lvl w:ilvl="0" w:tentative="0">
      <w:start w:val="1"/>
      <w:numFmt w:val="bullet"/>
      <w:lvlText w:val=""/>
      <w:lvlJc w:val="left"/>
      <w:pPr>
        <w:ind w:left="420" w:hanging="420"/>
      </w:pPr>
      <w:rPr>
        <w:rFonts w:hint="default" w:ascii="Wingdings" w:hAnsi="Wingdings"/>
      </w:rPr>
    </w:lvl>
  </w:abstractNum>
  <w:abstractNum w:abstractNumId="7">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4447BBAC"/>
    <w:multiLevelType w:val="multilevel"/>
    <w:tmpl w:val="4447BB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1">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6B9E443"/>
    <w:multiLevelType w:val="singleLevel"/>
    <w:tmpl w:val="56B9E443"/>
    <w:lvl w:ilvl="0" w:tentative="0">
      <w:start w:val="1"/>
      <w:numFmt w:val="bullet"/>
      <w:lvlText w:val=""/>
      <w:lvlJc w:val="left"/>
      <w:pPr>
        <w:ind w:left="420" w:hanging="420"/>
      </w:pPr>
      <w:rPr>
        <w:rFonts w:hint="default" w:ascii="Wingdings" w:hAnsi="Wingdings"/>
      </w:rPr>
    </w:lvl>
  </w:abstractNum>
  <w:abstractNum w:abstractNumId="14">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D23DF73"/>
    <w:multiLevelType w:val="singleLevel"/>
    <w:tmpl w:val="5D23DF73"/>
    <w:lvl w:ilvl="0" w:tentative="0">
      <w:start w:val="1"/>
      <w:numFmt w:val="bullet"/>
      <w:lvlText w:val=""/>
      <w:lvlJc w:val="left"/>
      <w:pPr>
        <w:ind w:left="420" w:hanging="420"/>
      </w:pPr>
      <w:rPr>
        <w:rFonts w:hint="default" w:ascii="Wingdings" w:hAnsi="Wingdings"/>
      </w:rPr>
    </w:lvl>
  </w:abstractNum>
  <w:abstractNum w:abstractNumId="16">
    <w:nsid w:val="5D763755"/>
    <w:multiLevelType w:val="multilevel"/>
    <w:tmpl w:val="5D763755"/>
    <w:lvl w:ilvl="0" w:tentative="0">
      <w:start w:val="1"/>
      <w:numFmt w:val="decimal"/>
      <w:pStyle w:val="292"/>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E64460D"/>
    <w:multiLevelType w:val="singleLevel"/>
    <w:tmpl w:val="7E64460D"/>
    <w:lvl w:ilvl="0" w:tentative="0">
      <w:start w:val="1"/>
      <w:numFmt w:val="bullet"/>
      <w:lvlText w:val=""/>
      <w:lvlJc w:val="left"/>
      <w:pPr>
        <w:ind w:left="420" w:hanging="420"/>
      </w:pPr>
      <w:rPr>
        <w:rFonts w:hint="default" w:ascii="Wingdings" w:hAnsi="Wingdings"/>
      </w:rPr>
    </w:lvl>
  </w:abstractNum>
  <w:num w:numId="1">
    <w:abstractNumId w:val="0"/>
  </w:num>
  <w:num w:numId="2">
    <w:abstractNumId w:val="11"/>
  </w:num>
  <w:num w:numId="3">
    <w:abstractNumId w:val="8"/>
  </w:num>
  <w:num w:numId="4">
    <w:abstractNumId w:val="9"/>
  </w:num>
  <w:num w:numId="5">
    <w:abstractNumId w:val="16"/>
  </w:num>
  <w:num w:numId="6">
    <w:abstractNumId w:val="7"/>
  </w:num>
  <w:num w:numId="7">
    <w:abstractNumId w:val="14"/>
  </w:num>
  <w:num w:numId="8">
    <w:abstractNumId w:val="12"/>
  </w:num>
  <w:num w:numId="9">
    <w:abstractNumId w:val="6"/>
  </w:num>
  <w:num w:numId="10">
    <w:abstractNumId w:val="10"/>
  </w:num>
  <w:num w:numId="11">
    <w:abstractNumId w:val="15"/>
  </w:num>
  <w:num w:numId="12">
    <w:abstractNumId w:val="4"/>
  </w:num>
  <w:num w:numId="13">
    <w:abstractNumId w:val="3"/>
  </w:num>
  <w:num w:numId="14">
    <w:abstractNumId w:val="5"/>
  </w:num>
  <w:num w:numId="15">
    <w:abstractNumId w:val="17"/>
  </w:num>
  <w:num w:numId="16">
    <w:abstractNumId w:val="13"/>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1E2"/>
    <w:rsid w:val="000D2BF9"/>
    <w:rsid w:val="000D46DC"/>
    <w:rsid w:val="000E1125"/>
    <w:rsid w:val="000E1993"/>
    <w:rsid w:val="000E1EF3"/>
    <w:rsid w:val="000E3B8A"/>
    <w:rsid w:val="000E6523"/>
    <w:rsid w:val="000E6D17"/>
    <w:rsid w:val="000F0A49"/>
    <w:rsid w:val="000F0A7B"/>
    <w:rsid w:val="000F4CFF"/>
    <w:rsid w:val="000F4D2A"/>
    <w:rsid w:val="000F6A5C"/>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09E6"/>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2C44"/>
    <w:rsid w:val="00223B64"/>
    <w:rsid w:val="00224BF7"/>
    <w:rsid w:val="002276D5"/>
    <w:rsid w:val="0023029F"/>
    <w:rsid w:val="00231281"/>
    <w:rsid w:val="00231DC2"/>
    <w:rsid w:val="002333B7"/>
    <w:rsid w:val="002344F2"/>
    <w:rsid w:val="00236487"/>
    <w:rsid w:val="002368E4"/>
    <w:rsid w:val="002404C3"/>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1FF"/>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1DB"/>
    <w:rsid w:val="002E28F9"/>
    <w:rsid w:val="002E43F3"/>
    <w:rsid w:val="002E4EF3"/>
    <w:rsid w:val="002E5737"/>
    <w:rsid w:val="002E7525"/>
    <w:rsid w:val="002F01CA"/>
    <w:rsid w:val="002F03EC"/>
    <w:rsid w:val="002F1163"/>
    <w:rsid w:val="002F2326"/>
    <w:rsid w:val="002F2924"/>
    <w:rsid w:val="002F3161"/>
    <w:rsid w:val="002F4BC0"/>
    <w:rsid w:val="002F5517"/>
    <w:rsid w:val="0030037F"/>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E35"/>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ADF"/>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323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1B2B"/>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315F"/>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3FA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5F0E"/>
    <w:rsid w:val="00806C7C"/>
    <w:rsid w:val="0080728E"/>
    <w:rsid w:val="00810990"/>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521"/>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F4"/>
    <w:rsid w:val="00891E8C"/>
    <w:rsid w:val="008937A3"/>
    <w:rsid w:val="0089509A"/>
    <w:rsid w:val="008A3013"/>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903A8"/>
    <w:rsid w:val="00991070"/>
    <w:rsid w:val="00992DC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C2086"/>
    <w:rsid w:val="009C3006"/>
    <w:rsid w:val="009C47A7"/>
    <w:rsid w:val="009C5053"/>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4E51"/>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4A7C"/>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08C"/>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561C"/>
    <w:rsid w:val="00DA7973"/>
    <w:rsid w:val="00DB037D"/>
    <w:rsid w:val="00DB2FFF"/>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E76C6"/>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A020FD"/>
    <w:rsid w:val="0AAF1AA0"/>
    <w:rsid w:val="0ACF6319"/>
    <w:rsid w:val="0AE61C59"/>
    <w:rsid w:val="0AEC356E"/>
    <w:rsid w:val="0AF22A25"/>
    <w:rsid w:val="0AFA4B7A"/>
    <w:rsid w:val="0B1316BA"/>
    <w:rsid w:val="0B1355F4"/>
    <w:rsid w:val="0B310DA2"/>
    <w:rsid w:val="0B545B44"/>
    <w:rsid w:val="0B600E6A"/>
    <w:rsid w:val="0B99346A"/>
    <w:rsid w:val="0BA10DE5"/>
    <w:rsid w:val="0BFA17A2"/>
    <w:rsid w:val="0BFC2A25"/>
    <w:rsid w:val="0C0165D0"/>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436373"/>
    <w:rsid w:val="23494A52"/>
    <w:rsid w:val="23535416"/>
    <w:rsid w:val="23595DDA"/>
    <w:rsid w:val="236126D8"/>
    <w:rsid w:val="236606E8"/>
    <w:rsid w:val="237B12D0"/>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A4FE0"/>
    <w:rsid w:val="5F0B70CF"/>
    <w:rsid w:val="5F10609D"/>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29781B"/>
    <w:rsid w:val="6B2E4872"/>
    <w:rsid w:val="6B5068BA"/>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
    <w:unhideWhenUsed/>
    <w:qFormat/>
    <w:uiPriority w:val="0"/>
    <w:pPr>
      <w:ind w:left="100" w:leftChars="200"/>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7"/>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table" w:customStyle="1" w:styleId="291">
    <w:name w:val="网格型1"/>
    <w:basedOn w:val="58"/>
    <w:qFormat/>
    <w:uiPriority w:val="0"/>
    <w:rPr>
      <w:rFonts w:ascii="Calibri" w:hAnsi="Calibri"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ZTE-Proposal-2021 + 段前: 0.5 行 段后: 0.5 行"/>
    <w:basedOn w:val="1"/>
    <w:qFormat/>
    <w:uiPriority w:val="0"/>
    <w:pPr>
      <w:numPr>
        <w:ilvl w:val="0"/>
        <w:numId w:val="5"/>
      </w:numPr>
      <w:spacing w:before="30" w:beforeLines="30" w:after="30" w:afterLines="30" w:line="288" w:lineRule="auto"/>
      <w:ind w:left="0" w:firstLine="0"/>
      <w:jc w:val="left"/>
    </w:pPr>
    <w:rPr>
      <w:rFonts w:cs="宋体"/>
      <w:b/>
      <w:bCs/>
      <w:i/>
      <w:iC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FB199-4297-4349-8992-99B74024C686}">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7</Pages>
  <Words>2025</Words>
  <Characters>11544</Characters>
  <Lines>96</Lines>
  <Paragraphs>27</Paragraphs>
  <TotalTime>1</TotalTime>
  <ScaleCrop>false</ScaleCrop>
  <LinksUpToDate>false</LinksUpToDate>
  <CharactersWithSpaces>13542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2024-03-30T15:31:00Z</dcterms:created>
  <dc:creator>10033860</dc:creator>
  <cp:lastModifiedBy>ZTE-YP</cp:lastModifiedBy>
  <cp:lastPrinted>2113-01-01T00:00:00Z</cp:lastPrinted>
  <dcterms:modified xsi:type="dcterms:W3CDTF">2024-05-10T09:20:52Z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10B1665B7C9844319EE01F934609AC1F</vt:lpwstr>
  </property>
</Properties>
</file>